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Banker</w:t>
      </w:r>
      <w:r>
        <w:t xml:space="preserve"> </w:t>
      </w:r>
      <w:r>
        <w:t xml:space="preserve">Initiative</w:t>
      </w:r>
      <w:r>
        <w:t xml:space="preserve"> </w:t>
      </w:r>
      <w:r>
        <w:t xml:space="preserve">in</w:t>
      </w:r>
      <w:r>
        <w:t xml:space="preserve"> </w:t>
      </w:r>
      <w:r>
        <w:t xml:space="preserve">Argentina</w:t>
      </w:r>
      <w:r>
        <w:t xml:space="preserve"> </w:t>
      </w:r>
      <w:r>
        <w:t xml:space="preserve">Córdoba</w:t>
      </w:r>
    </w:p>
    <w:bookmarkStart w:id="37" w:name="X866345bb4c119dc96b92666495e5e4e75114fb8"/>
    <w:p>
      <w:pPr>
        <w:pStyle w:val="Heading1"/>
      </w:pPr>
      <w:r>
        <w:t xml:space="preserve">Project Report: Strategic Implementation of Financial Advisory Services ("The Banker") in Argentina Córdoba</w:t>
      </w:r>
    </w:p>
    <w:bookmarkStart w:id="20" w:name="i.-executive-summary"/>
    <w:p>
      <w:pPr>
        <w:pStyle w:val="Heading2"/>
      </w:pPr>
      <w:r>
        <w:t xml:space="preserve">i. Executive Summary</w:t>
      </w:r>
    </w:p>
    <w:p>
      <w:pPr>
        <w:pStyle w:val="FirstParagraph"/>
      </w:pPr>
      <w:r>
        <w:t xml:space="preserve">This Project Report outlines the comprehensive strategy for deploying a specialized financial advisory and banking service model, referred to herein as "The Banker," within the specific socio-economic context of Argentina Córdoba. The primary objective is to bridge the gap between traditional banking rigidity and the dynamic needs of local SMEs (Small and Medium Enterprises) and individual investors in one of Argentina's most robust provincial economies. As Córdoba transitions into a major hub for technology, agriculture, and tourism, there is an urgent demand for sophisticated financial stewardship that respects local fiscal realities while leveraging global best practices.</w:t>
      </w:r>
    </w:p>
    <w:p>
      <w:pPr>
        <w:pStyle w:val="BodyText"/>
      </w:pPr>
      <w:r>
        <w:t xml:space="preserve">The initiative focuses on establishing "The Banker" not merely as a repository of funds but as an active partner in wealth preservation and growth. This report details the market analysis, operational framework, risk mitigation strategies involving the volatile Argentine peso, and community integration plans specific to Córdoba's cultural landscape. By aligning with local regulations from the Central Bank of Argentina (BCRA) and adapting to the unique fiscal incentives of Córdoba Province, this project aims to set a new standard for financial integrity and accessibility in the region.</w:t>
      </w:r>
    </w:p>
    <w:bookmarkEnd w:id="20"/>
    <w:bookmarkStart w:id="23" w:name="Xe162a3edb33180a425ad3fe3fe9d4d24ff2b3f7"/>
    <w:p>
      <w:pPr>
        <w:pStyle w:val="Heading2"/>
      </w:pPr>
      <w:r>
        <w:t xml:space="preserve">ii. Market Context: The Specifics of Argentina Córdoba</w:t>
      </w:r>
    </w:p>
    <w:p>
      <w:pPr>
        <w:pStyle w:val="FirstParagraph"/>
      </w:pPr>
      <w:r>
        <w:t xml:space="preserve">To understand the necessity of "The Banker" in this region, one must first analyze the economic engine that is Argentina Córdoba. Unlike Buenos Aires, which is driven by federal government spending and large corporate headquarters, Córdoba’s economy is diversified across several key pillars: agribusiness (particularly soy and beef), automotive manufacturing (notably Volkswagen’s plant in General Pacheco), renewable energy, and a burgeoning IT sector known as the "Cable of Knowledge."</w:t>
      </w:r>
    </w:p>
    <w:bookmarkStart w:id="21" w:name="economic-resilience-and-volatility"/>
    <w:p>
      <w:pPr>
        <w:pStyle w:val="Heading3"/>
      </w:pPr>
      <w:r>
        <w:t xml:space="preserve">2.1 Economic Resilience and Volatility</w:t>
      </w:r>
    </w:p>
    <w:p>
      <w:pPr>
        <w:pStyle w:val="FirstParagraph"/>
      </w:pPr>
      <w:r>
        <w:t xml:space="preserve">The residents of Córdoba face the same macroeconomic challenges as the rest of Argentina, including high inflation rates and currency fluctuation. However, Córdoba exhibits a higher degree of local economic resilience due to its industrial base. Small business owners in cities such as Río Cuarto, Villa María, and San Francisco require banking solutions that hedge against inflation while facilitating trade across provincial borders. "The Banker" will address this by offering multi-currency accounts and advisory services focused on inflation-indexed contracts.</w:t>
      </w:r>
    </w:p>
    <w:bookmarkEnd w:id="21"/>
    <w:bookmarkStart w:id="22" w:name="the-informal-economy-challenge"/>
    <w:p>
      <w:pPr>
        <w:pStyle w:val="Heading3"/>
      </w:pPr>
      <w:r>
        <w:t xml:space="preserve">2.2 The Informal Economy Challenge</w:t>
      </w:r>
    </w:p>
    <w:p>
      <w:pPr>
        <w:pStyle w:val="FirstParagraph"/>
      </w:pPr>
      <w:r>
        <w:t xml:space="preserve">A significant portion of economic activity in rural Córdoba remains informal due to complex tax burdens. This project aims to formalize these transactions by providing clear, compliant, and efficient banking interfaces that simplify tax reporting for local merchants and farmers, thereby bringing more capital into the regulated financial system.</w:t>
      </w:r>
    </w:p>
    <w:bookmarkEnd w:id="22"/>
    <w:bookmarkEnd w:id="23"/>
    <w:bookmarkStart w:id="26" w:name="X5d8788e8341661118f1faa2285fba55d498bca3"/>
    <w:p>
      <w:pPr>
        <w:pStyle w:val="Heading2"/>
      </w:pPr>
      <w:r>
        <w:t xml:space="preserve">iii. The Banker: Service Model and Operational Framework</w:t>
      </w:r>
    </w:p>
    <w:p>
      <w:pPr>
        <w:pStyle w:val="FirstParagraph"/>
      </w:pPr>
      <w:r>
        <w:t xml:space="preserve">"The Banker" is conceptualized as a hybrid entity combining digital efficiency with high-touch personal advisory services. In the context of Argentine culture, trust is built through personal relationships ("el apretón de manos"). Therefore, the model rejects pure automation in favor of a human-centric approach supported by technology.</w:t>
      </w:r>
    </w:p>
    <w:bookmarkStart w:id="24" w:name="core-pillars-of-the-banker"/>
    <w:p>
      <w:pPr>
        <w:pStyle w:val="Heading3"/>
      </w:pPr>
      <w:r>
        <w:t xml:space="preserve">3.1 Core Pillars of "The Banker"</w:t>
      </w:r>
    </w:p>
    <w:p>
      <w:pPr>
        <w:numPr>
          <w:ilvl w:val="0"/>
          <w:numId w:val="1001"/>
        </w:numPr>
        <w:pStyle w:val="Compact"/>
      </w:pPr>
      <w:r>
        <w:rPr>
          <w:bCs/>
          <w:b/>
        </w:rPr>
        <w:t xml:space="preserve">Treasury Management for SMEs:</w:t>
      </w:r>
    </w:p>
    <w:p>
      <w:pPr>
        <w:numPr>
          <w:ilvl w:val="0"/>
          <w:numId w:val="1001"/>
        </w:numPr>
        <w:pStyle w:val="Compact"/>
      </w:pPr>
      <w:r>
        <w:rPr>
          <w:bCs/>
          <w:b/>
        </w:rPr>
        <w:t xml:space="preserve">Wealth Preservation Advisory:</w:t>
      </w:r>
    </w:p>
    <w:p>
      <w:pPr>
        <w:numPr>
          <w:ilvl w:val="0"/>
          <w:numId w:val="1001"/>
        </w:numPr>
        <w:pStyle w:val="Compact"/>
      </w:pPr>
      <w:r>
        <w:rPr>
          <w:bCs/>
          <w:b/>
        </w:rPr>
        <w:t xml:space="preserve">Sustainable Finance:</w:t>
      </w:r>
    </w:p>
    <w:bookmarkEnd w:id="24"/>
    <w:bookmarkStart w:id="25" w:name="digital-infrastructure"/>
    <w:p>
      <w:pPr>
        <w:pStyle w:val="Heading3"/>
      </w:pPr>
      <w:r>
        <w:t xml:space="preserve">3.2 Digital Infrastructure</w:t>
      </w:r>
    </w:p>
    <w:p>
      <w:pPr>
        <w:pStyle w:val="FirstParagraph"/>
      </w:pPr>
      <w:r>
        <w:t xml:space="preserve">The technological backbone of "The Banker" will be built on a secure, cloud-based infrastructure that complies with Argentine data protection laws (Law 25.326). The platform will feature real-time exchange rate tracking, automated tax calculation modules specific to Córdoba’s provincial taxes (such as the Impuesto a los Ingresos Brutos), and seamless integration with local payment gateways.</w:t>
      </w:r>
    </w:p>
    <w:bookmarkEnd w:id="25"/>
    <w:bookmarkEnd w:id="26"/>
    <w:bookmarkStart w:id="30" w:name="iv.-implementation-strategy-and-phases"/>
    <w:p>
      <w:pPr>
        <w:pStyle w:val="Heading2"/>
      </w:pPr>
      <w:r>
        <w:t xml:space="preserve">iv. Implementation Strategy and Phases</w:t>
      </w:r>
    </w:p>
    <w:bookmarkStart w:id="27" w:name="Xaa126fb033a70a8c80c0905c643f9724e057241"/>
    <w:p>
      <w:pPr>
        <w:pStyle w:val="Heading3"/>
      </w:pPr>
      <w:r>
        <w:t xml:space="preserve">4.1 Phase 1: Regulatory Compliance and Licensing (Months 1-6)</w:t>
      </w:r>
    </w:p>
    <w:p>
      <w:pPr>
        <w:pStyle w:val="FirstParagraph"/>
      </w:pPr>
      <w:r>
        <w:t xml:space="preserve">This initial phase involves rigorous engagement with the Central Bank of Argentina (BCRA) to secure necessary operating licenses. Simultaneously, legal teams will navigate the specific regulations of Córdoba Province, particularly regarding financial services taxation. Building relationships with local regulators is critical to ensure "The Banker" is viewed as a facilitator of economic development rather than a speculative entity.</w:t>
      </w:r>
    </w:p>
    <w:bookmarkEnd w:id="27"/>
    <w:bookmarkStart w:id="28" w:name="Xa3c8a9b6eeb7fe9f402829808a9401886963dce"/>
    <w:p>
      <w:pPr>
        <w:pStyle w:val="Heading3"/>
      </w:pPr>
      <w:r>
        <w:t xml:space="preserve">4.2 Phase 2: Pilot Program in Córdoba Capital (Months 7-12)</w:t>
      </w:r>
    </w:p>
    <w:p>
      <w:pPr>
        <w:pStyle w:val="FirstParagraph"/>
      </w:pPr>
      <w:r>
        <w:t xml:space="preserve">A soft launch will be conducted in Córdoba Capital, targeting key sectors such as IT startups and boutique agricultural producers. This phase focuses on gathering user feedback and refining the advisory algorithms. Marketing efforts will leverage local media and industry associations like the Cámara de Comercio e Industria de Córdoba to build brand recognition.</w:t>
      </w:r>
    </w:p>
    <w:bookmarkEnd w:id="28"/>
    <w:bookmarkStart w:id="29" w:name="X3c921c8517968669c8840f41438496609f23def"/>
    <w:p>
      <w:pPr>
        <w:pStyle w:val="Heading3"/>
      </w:pPr>
      <w:r>
        <w:t xml:space="preserve">4.3 Phase 3: Provincial Expansion (Months 13-24)</w:t>
      </w:r>
    </w:p>
    <w:p>
      <w:pPr>
        <w:pStyle w:val="FirstParagraph"/>
      </w:pPr>
      <w:r>
        <w:t xml:space="preserve">The final phase involves expanding services to secondary cities in the province, including Villa María and Río Cuarto. This expansion will be supported by regional partnerships with local credit unions and agricultural cooperatives, ensuring that "The Banker" reaches farmers and rural entrepreneurs who may have limited access to traditional banking branches.</w:t>
      </w:r>
    </w:p>
    <w:bookmarkEnd w:id="29"/>
    <w:bookmarkEnd w:id="30"/>
    <w:bookmarkStart w:id="34" w:name="v.-risk-management-and-mitigation"/>
    <w:p>
      <w:pPr>
        <w:pStyle w:val="Heading2"/>
      </w:pPr>
      <w:r>
        <w:t xml:space="preserve">v. Risk Management and Mitigation</w:t>
      </w:r>
    </w:p>
    <w:bookmarkStart w:id="31" w:name="macroeconomic-risk"/>
    <w:p>
      <w:pPr>
        <w:pStyle w:val="Heading3"/>
      </w:pPr>
      <w:r>
        <w:t xml:space="preserve">5.1 Macroeconomic Risk</w:t>
      </w:r>
    </w:p>
    <w:p>
      <w:pPr>
        <w:pStyle w:val="FirstParagraph"/>
      </w:pPr>
      <w:r>
        <w:t xml:space="preserve">The primary risk in Argentina is macroeconomic instability, including sudden currency devaluations or changes in capital controls ("cepo cambiario"). "The Banker" will mitigate this by maintaining a diversified asset portfolio and offering dynamic hedging strategies to clients. Additionally, the advisory team will maintain close contact with economic analysts to anticipate regulatory changes.</w:t>
      </w:r>
    </w:p>
    <w:bookmarkEnd w:id="31"/>
    <w:bookmarkStart w:id="32" w:name="operational-and-cybersecurity-risk"/>
    <w:p>
      <w:pPr>
        <w:pStyle w:val="Heading3"/>
      </w:pPr>
      <w:r>
        <w:t xml:space="preserve">5.2 Operational and Cybersecurity Risk</w:t>
      </w:r>
    </w:p>
    <w:p>
      <w:pPr>
        <w:pStyle w:val="FirstParagraph"/>
      </w:pPr>
      <w:r>
        <w:t xml:space="preserve">In an era of increasing cyber threats, "The Banker" will implement multi-factor authentication, end-to-end encryption, and regular third-party security audits. Compliance with the Federal Information Security Law is mandatory to protect client data and maintain trust.</w:t>
      </w:r>
    </w:p>
    <w:bookmarkEnd w:id="32"/>
    <w:bookmarkStart w:id="33" w:name="reputational-risk"/>
    <w:p>
      <w:pPr>
        <w:pStyle w:val="Heading3"/>
      </w:pPr>
      <w:r>
        <w:t xml:space="preserve">5.3 Reputational Risk</w:t>
      </w:r>
    </w:p>
    <w:p>
      <w:pPr>
        <w:pStyle w:val="FirstParagraph"/>
      </w:pPr>
      <w:r>
        <w:t xml:space="preserve">In a community-driven society like Córdoba, reputation is paramount. The project will establish an Ethics Committee comprising respected local figures from business, academia, and civil society to oversee ethical standards and ensure that "The Banker" operates with transparency and integrity.</w:t>
      </w:r>
    </w:p>
    <w:bookmarkEnd w:id="33"/>
    <w:bookmarkEnd w:id="34"/>
    <w:bookmarkStart w:id="35" w:name="vi.-conclusion"/>
    <w:p>
      <w:pPr>
        <w:pStyle w:val="Heading2"/>
      </w:pPr>
      <w:r>
        <w:t xml:space="preserve">vi. Conclusion</w:t>
      </w:r>
    </w:p>
    <w:p>
      <w:pPr>
        <w:pStyle w:val="FirstParagraph"/>
      </w:pPr>
      <w:r>
        <w:t xml:space="preserve">The deployment of "The Banker" in Argentina Córdoba represents a strategic opportunity to modernize financial services while respecting the unique cultural and economic fabric of the region. By combining rigorous regulatory compliance, advanced technological infrastructure, and a deeply human-centric approach to advisory services, this project aims to empower local businesses and individuals against economic volatility.</w:t>
      </w:r>
    </w:p>
    <w:p>
      <w:pPr>
        <w:pStyle w:val="BodyText"/>
      </w:pPr>
      <w:r>
        <w:t xml:space="preserve">The success of "The Banker" will not be measured solely by profit margins but by its contribution to the formalization of the economy, the support of sustainable development in Córdoba’s agricultural and industrial sectors, and the enhancement of financial literacy among its citizens. As Argentina navigates a complex economic future, having a trusted local financial partner that understands both global trends and local realities is essential. This project report affirms that "The Banker" is poised to become an integral part of Córdoba’s economic landscape, fostering stability, growth, and prosperity for the region.</w:t>
      </w:r>
    </w:p>
    <w:bookmarkEnd w:id="35"/>
    <w:bookmarkStart w:id="36" w:name="vii.-appendix"/>
    <w:p>
      <w:pPr>
        <w:pStyle w:val="Heading2"/>
      </w:pPr>
      <w:r>
        <w:t xml:space="preserve">vii. Appendix</w:t>
      </w:r>
    </w:p>
    <w:p>
      <w:pPr>
        <w:pStyle w:val="FirstParagraph"/>
      </w:pPr>
      <w:r>
        <w:rPr>
          <w:bCs/>
          <w:b/>
        </w:rPr>
        <w:t xml:space="preserve">Glossary of Terms:</w:t>
      </w:r>
    </w:p>
    <w:p>
      <w:pPr>
        <w:pStyle w:val="BodyText"/>
      </w:pPr>
      <w:r>
        <w:rPr>
          <w:bCs/>
          <w:b/>
        </w:rPr>
        <w:t xml:space="preserve">SME:</w:t>
      </w:r>
    </w:p>
    <w:p>
      <w:pPr>
        <w:pStyle w:val="BodyText"/>
      </w:pPr>
      <w:r>
        <w:rPr>
          <w:bCs/>
          <w:b/>
        </w:rPr>
        <w:t xml:space="preserve">BCRA:</w:t>
      </w:r>
    </w:p>
    <w:p>
      <w:pPr>
        <w:pStyle w:val="BodyText"/>
      </w:pPr>
      <w:r>
        <w:rPr>
          <w:bCs/>
          <w:b/>
        </w:rPr>
        <w:t xml:space="preserve">IDB: Inter-American Development Bank.</w:t>
      </w:r>
    </w:p>
    <w:bookmarkEnd w:id="36"/>
    <w:p>
      <w:pPr>
        <w:pStyle w:val="BodyText"/>
      </w:pPr>
      <w:r>
        <w:t xml:space="preserve">p</w:t>
      </w:r>
      <w:r>
        <w:t xml:space="preserve"> </w:t>
      </w: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Banker Initiative in Argentina Córdoba</dc:title>
  <dc:creator/>
  <dc:language>en</dc:language>
  <cp:keywords/>
  <dcterms:created xsi:type="dcterms:W3CDTF">2026-07-29T13:24:28Z</dcterms:created>
  <dcterms:modified xsi:type="dcterms:W3CDTF">2026-07-29T13:24:28Z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