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Banker</w:t>
      </w:r>
      <w:r>
        <w:t xml:space="preserve"> </w:t>
      </w:r>
      <w:r>
        <w:t xml:space="preserve">Role</w:t>
      </w:r>
      <w:r>
        <w:t xml:space="preserve"> </w:t>
      </w:r>
      <w:r>
        <w:t xml:space="preserve">in</w:t>
      </w:r>
      <w:r>
        <w:t xml:space="preserve"> </w:t>
      </w:r>
      <w:r>
        <w:t xml:space="preserve">Australia</w:t>
      </w:r>
      <w:r>
        <w:t xml:space="preserve"> </w:t>
      </w:r>
      <w:r>
        <w:t xml:space="preserve">Melbourne</w:t>
      </w:r>
    </w:p>
    <w:bookmarkStart w:id="33" w:name="Xb5e8824b05311164fd8f03edd48cb352ce66cc6"/>
    <w:p>
      <w:pPr>
        <w:pStyle w:val="Heading1"/>
      </w:pPr>
      <w:r>
        <w:t xml:space="preserve">Project Report: Strategic Implementation of the Banker Role in Australia Melbourne</w:t>
      </w:r>
    </w:p>
    <w:p>
      <w:pPr>
        <w:pStyle w:val="FirstParagraph"/>
      </w:pPr>
      <w:r>
        <w:rPr>
          <w:bCs/>
          <w:b/>
        </w:rPr>
        <w:t xml:space="preserve">Date:</w:t>
      </w:r>
      <w:r>
        <w:t xml:space="preserve"> </w:t>
      </w:r>
      <w:r>
        <w:t xml:space="preserve">October 26, 2023</w:t>
      </w:r>
      <w:r>
        <w:br/>
      </w:r>
      <w:r>
        <w:rPr>
          <w:bCs/>
          <w:b/>
        </w:rPr>
        <w:t xml:space="preserve">To:</w:t>
      </w:r>
      <w:r>
        <w:t xml:space="preserve">Board of Directors, Financial Strategy Committee</w:t>
      </w:r>
      <w:r>
        <w:br/>
      </w:r>
      <w:r>
        <w:rPr>
          <w:bCs/>
          <w:b/>
        </w:rPr>
        <w:t xml:space="preserve">From:</w:t>
      </w:r>
      <w:r>
        <w:t xml:space="preserve">Project Management Office (PMO)</w:t>
      </w:r>
      <w:r>
        <w:br/>
      </w:r>
      <w:r>
        <w:rPr>
          <w:bCs/>
          <w:b/>
        </w:rPr>
        <w:t xml:space="preserve">Subject:</w:t>
      </w:r>
      <w:r>
        <w:t xml:space="preserve"> </w:t>
      </w:r>
      <w:r>
        <w:t xml:space="preserve">Analysis and Operational Framework for the Banker Function in the Australia Melbourne Market</w:t>
      </w:r>
    </w:p>
    <w:bookmarkStart w:id="20" w:name="executive-summary"/>
    <w:p>
      <w:pPr>
        <w:pStyle w:val="Heading2"/>
      </w:pPr>
      <w:r>
        <w:t xml:space="preserve">1. Executive Summary</w:t>
      </w:r>
    </w:p>
    <w:p>
      <w:pPr>
        <w:pStyle w:val="FirstParagraph"/>
      </w:pPr>
      <w:r>
        <w:t xml:space="preserve">This Project Report outlines the strategic necessity, operational requirements, and market adaptation strategies required to effectively implement a dedicated</w:t>
      </w:r>
      <w:r>
        <w:t xml:space="preserve"> </w:t>
      </w:r>
      <w:r>
        <w:rPr>
          <w:bCs/>
          <w:b/>
        </w:rPr>
        <w:t xml:space="preserve">Banker</w:t>
      </w:r>
      <w:r>
        <w:t xml:space="preserve"> </w:t>
      </w:r>
      <w:r>
        <w:t xml:space="preserve">function within our organization’s expansion into</w:t>
      </w:r>
      <w:r>
        <w:t xml:space="preserve"> </w:t>
      </w:r>
      <w:r>
        <w:rPr>
          <w:bCs/>
          <w:b/>
        </w:rPr>
        <w:t xml:space="preserve">Australia Melbourne</w:t>
      </w:r>
      <w:r>
        <w:t xml:space="preserve">. As the financial services landscape in Victoria becomes increasingly competitive and regulated, the role of the Banker evolves from a traditional transactional processor to a pivotal relationship manager and risk analyst. This document details how optimizing this role will drive revenue growth, ensure strict compliance with Australian Prudential Regulation Authority (APRA) standards, and enhance customer retention in the vibrant Melbourne market.</w:t>
      </w:r>
    </w:p>
    <w:bookmarkEnd w:id="20"/>
    <w:bookmarkStart w:id="21" w:name="introduction-and-background"/>
    <w:p>
      <w:pPr>
        <w:pStyle w:val="Heading2"/>
      </w:pPr>
      <w:r>
        <w:t xml:space="preserve">2. Introduction and Background</w:t>
      </w:r>
    </w:p>
    <w:p>
      <w:pPr>
        <w:pStyle w:val="FirstParagraph"/>
      </w:pPr>
      <w:r>
        <w:t xml:space="preserve">Melbourne has consistently ranked as one of the world’s most liveable cities, boasting a robust economy driven by finance, insurance, real estate, and professional services. For financial institutions operating in</w:t>
      </w:r>
      <w:r>
        <w:t xml:space="preserve"> </w:t>
      </w:r>
      <w:r>
        <w:rPr>
          <w:bCs/>
          <w:b/>
        </w:rPr>
        <w:t xml:space="preserve">Australia Melbourne</w:t>
      </w:r>
      <w:r>
        <w:t xml:space="preserve">, the demand for sophisticated banking solutions is high. However, the margin for error in regulatory compliance and customer service is slim.</w:t>
      </w:r>
    </w:p>
    <w:p>
      <w:pPr>
        <w:pStyle w:val="BodyText"/>
      </w:pPr>
      <w:r>
        <w:t xml:space="preserve">The concept of the</w:t>
      </w:r>
      <w:r>
        <w:t xml:space="preserve"> </w:t>
      </w:r>
      <w:r>
        <w:rPr>
          <w:bCs/>
          <w:b/>
        </w:rPr>
        <w:t xml:space="preserve">Banker</w:t>
      </w:r>
      <w:r>
        <w:t xml:space="preserve"> </w:t>
      </w:r>
      <w:r>
        <w:t xml:space="preserve">in this context refers not merely to a teller or a basic account manager, but to a holistic financial advisor who serves as the bridge between complex banking products and diverse client needs. This report argues that refining the definition and training of the Banker is critical for success in this specific geographic market. The unique demographic mix of</w:t>
      </w:r>
      <w:r>
        <w:t xml:space="preserve"> </w:t>
      </w:r>
      <w:r>
        <w:rPr>
          <w:bCs/>
          <w:b/>
        </w:rPr>
        <w:t xml:space="preserve">Australia Melbourne</w:t>
      </w:r>
      <w:r>
        <w:t xml:space="preserve">, which includes a significant population of immigrants, young professionals, and established industries, requires a Banker who is culturally competent, technically proficient, and deeply knowledgeable about local economic trends.</w:t>
      </w:r>
    </w:p>
    <w:bookmarkEnd w:id="21"/>
    <w:bookmarkStart w:id="25" w:name="market-context-australia-melbourne"/>
    <w:p>
      <w:pPr>
        <w:pStyle w:val="Heading2"/>
      </w:pPr>
      <w:r>
        <w:t xml:space="preserve">3. Market Context: Australia Melbourne</w:t>
      </w:r>
    </w:p>
    <w:p>
      <w:pPr>
        <w:pStyle w:val="FirstParagraph"/>
      </w:pPr>
      <w:r>
        <w:t xml:space="preserve">To understand the urgency of this project report regarding the</w:t>
      </w:r>
      <w:r>
        <w:t xml:space="preserve"> </w:t>
      </w:r>
      <w:r>
        <w:rPr>
          <w:bCs/>
          <w:b/>
        </w:rPr>
        <w:t xml:space="preserve">Banker</w:t>
      </w:r>
      <w:r>
        <w:t xml:space="preserve">, one must analyze the specific characteristics of</w:t>
      </w:r>
      <w:r>
        <w:t xml:space="preserve"> </w:t>
      </w:r>
      <w:r>
        <w:rPr>
          <w:bCs/>
          <w:b/>
        </w:rPr>
        <w:t xml:space="preserve">Australia Melbourne</w:t>
      </w:r>
      <w:r>
        <w:t xml:space="preserve">.</w:t>
      </w:r>
    </w:p>
    <w:bookmarkStart w:id="22" w:name="economic-landscape"/>
    <w:p>
      <w:pPr>
        <w:pStyle w:val="Heading3"/>
      </w:pPr>
      <w:r>
        <w:t xml:space="preserve">3.1 Economic Landscape</w:t>
      </w:r>
    </w:p>
    <w:p>
      <w:pPr>
        <w:pStyle w:val="FirstParagraph"/>
      </w:pPr>
      <w:r>
        <w:t xml:space="preserve">Melbourne is a hub for residential and commercial property, as well as fintech innovation. Clients in this region are tech-savvy and expect seamless digital integration alongside traditional face-to-face banking advice. A modern</w:t>
      </w:r>
      <w:r>
        <w:t xml:space="preserve"> </w:t>
      </w:r>
      <w:r>
        <w:rPr>
          <w:bCs/>
          <w:b/>
        </w:rPr>
        <w:t xml:space="preserve">Banker</w:t>
      </w:r>
      <w:r>
        <w:t xml:space="preserve"> </w:t>
      </w:r>
      <w:r>
        <w:t xml:space="preserve">must be adept at using CRM tools to track client interactions while providing personalized financial planning.</w:t>
      </w:r>
    </w:p>
    <w:bookmarkEnd w:id="22"/>
    <w:bookmarkStart w:id="23" w:name="regulatory-environment"/>
    <w:p>
      <w:pPr>
        <w:pStyle w:val="Heading3"/>
      </w:pPr>
      <w:r>
        <w:t xml:space="preserve">3.2 Regulatory Environment</w:t>
      </w:r>
    </w:p>
    <w:p>
      <w:pPr>
        <w:pStyle w:val="FirstParagraph"/>
      </w:pPr>
      <w:r>
        <w:rPr>
          <w:bCs/>
          <w:b/>
        </w:rPr>
        <w:t xml:space="preserve">Australia Melbourne</w:t>
      </w:r>
      <w:r>
        <w:t xml:space="preserve">, like the rest of Australia, operates under a stringent regulatory framework overseen by APRA and the Australian Securities and Investments Commission (ASIC). The 'Banking Code of Practice' places a heavy emphasis on treating customers fairly. Therefore, every</w:t>
      </w:r>
      <w:r>
        <w:t xml:space="preserve"> </w:t>
      </w:r>
      <w:r>
        <w:rPr>
          <w:bCs/>
          <w:b/>
        </w:rPr>
        <w:t xml:space="preserve">Banker</w:t>
      </w:r>
      <w:r>
        <w:t xml:space="preserve"> </w:t>
      </w:r>
      <w:r>
        <w:t xml:space="preserve">interacting with clients in this region must undergo rigorous training on compliance, anti-money laundering (AML) protocols, and responsible lending obligations. Failure to adhere to these standards poses significant reputational and financial risks.</w:t>
      </w:r>
    </w:p>
    <w:bookmarkEnd w:id="23"/>
    <w:bookmarkStart w:id="24" w:name="competitive-dynamics"/>
    <w:p>
      <w:pPr>
        <w:pStyle w:val="Heading3"/>
      </w:pPr>
      <w:r>
        <w:t xml:space="preserve">3.3 Competitive Dynamics</w:t>
      </w:r>
    </w:p>
    <w:p>
      <w:pPr>
        <w:pStyle w:val="FirstParagraph"/>
      </w:pPr>
      <w:r>
        <w:t xml:space="preserve">The 'Big Four' banks dominate the market in</w:t>
      </w:r>
      <w:r>
        <w:t xml:space="preserve"> </w:t>
      </w:r>
      <w:r>
        <w:rPr>
          <w:bCs/>
          <w:b/>
        </w:rPr>
        <w:t xml:space="preserve">Australia Melbourne</w:t>
      </w:r>
      <w:r>
        <w:t xml:space="preserve">, but challenger banks and fintech firms are gaining traction by offering lower fees and better user experiences. To compete, our Bankers must offer superior value through advisory services rather than just product distribution. They must act as trusted advisors, helping clients navigate complex financial landscapes ranging from first-home buyer schemes to commercial lending for small-to-medium enterprises (SMEs).</w:t>
      </w:r>
    </w:p>
    <w:bookmarkEnd w:id="24"/>
    <w:bookmarkEnd w:id="25"/>
    <w:bookmarkStart w:id="29" w:name="the-role-of-the-banker-redefined"/>
    <w:p>
      <w:pPr>
        <w:pStyle w:val="Heading2"/>
      </w:pPr>
      <w:r>
        <w:t xml:space="preserve">4. The Role of the Banker: Redefined</w:t>
      </w:r>
    </w:p>
    <w:p>
      <w:pPr>
        <w:pStyle w:val="FirstParagraph"/>
      </w:pPr>
      <w:r>
        <w:t xml:space="preserve">In light of the</w:t>
      </w:r>
      <w:r>
        <w:t xml:space="preserve"> </w:t>
      </w:r>
      <w:r>
        <w:rPr>
          <w:bCs/>
          <w:b/>
        </w:rPr>
        <w:t xml:space="preserve">Australia Melbourne</w:t>
      </w:r>
      <w:r>
        <w:t xml:space="preserve"> </w:t>
      </w:r>
      <w:r>
        <w:t xml:space="preserve">market dynamics, the role of the</w:t>
      </w:r>
      <w:r>
        <w:t xml:space="preserve"> </w:t>
      </w:r>
      <w:r>
        <w:rPr>
          <w:bCs/>
          <w:b/>
        </w:rPr>
        <w:t xml:space="preserve">Banker</w:t>
      </w:r>
    </w:p>
    <w:p>
      <w:pPr>
        <w:pStyle w:val="BodyText"/>
      </w:pPr>
      <w:r>
        <w:t xml:space="preserve">is being redefined across three key pillars:</w:t>
      </w:r>
    </w:p>
    <w:bookmarkStart w:id="26" w:name="Xaa77ba2ec0b142d580502459906e27dc8923b14"/>
    <w:p>
      <w:pPr>
        <w:pStyle w:val="Heading3"/>
      </w:pPr>
      <w:r>
        <w:t xml:space="preserve">4.1 Relationship Management and Trust Building</w:t>
      </w:r>
    </w:p>
    <w:p>
      <w:pPr>
        <w:pStyle w:val="FirstParagraph"/>
      </w:pPr>
      <w:r>
        <w:t xml:space="preserve">The primary function of the</w:t>
      </w:r>
      <w:r>
        <w:t xml:space="preserve"> </w:t>
      </w:r>
      <w:r>
        <w:rPr>
          <w:bCs/>
          <w:b/>
        </w:rPr>
        <w:t xml:space="preserve">Banker</w:t>
      </w:r>
    </w:p>
    <w:p>
      <w:pPr>
        <w:pStyle w:val="BodyText"/>
      </w:pPr>
      <w:r>
        <w:t xml:space="preserve">in this project is to build long-term trust. In a community-focused city like Melbourne, word-of-mouth is powerful. Bankers are expected to engage with local communities, understand specific neighborhood economic drivers (such as the tech hub in Docklands or the retail sector in Chadstone), and tailor financial products accordingly.</w:t>
      </w:r>
    </w:p>
    <w:bookmarkEnd w:id="26"/>
    <w:bookmarkStart w:id="27" w:name="risk-assessment-and-compliance"/>
    <w:p>
      <w:pPr>
        <w:pStyle w:val="Heading3"/>
      </w:pPr>
      <w:r>
        <w:t xml:space="preserve">4.2 Risk Assessment and Compliance</w:t>
      </w:r>
    </w:p>
    <w:p>
      <w:pPr>
        <w:pStyle w:val="FirstParagraph"/>
      </w:pPr>
      <w:r>
        <w:t xml:space="preserve">Australia Melbourne</w:t>
      </w:r>
    </w:p>
    <w:p>
      <w:pPr>
        <w:pStyle w:val="BodyText"/>
      </w:pPr>
      <w:r>
        <w:t xml:space="preserve">clients are increasingly aware of their rights. The</w:t>
      </w:r>
      <w:r>
        <w:t xml:space="preserve"> </w:t>
      </w:r>
      <w:r>
        <w:rPr>
          <w:bCs/>
          <w:b/>
        </w:rPr>
        <w:t xml:space="preserve">Banker</w:t>
      </w:r>
    </w:p>
    <w:p>
      <w:pPr>
        <w:pStyle w:val="BodyText"/>
      </w:pPr>
      <w:r>
        <w:t xml:space="preserve">must possess advanced analytical skills to assess credit risk accurately while ensuring that lending practices meet the National Credit Code. This involves a delicate balance between aggressive sales targets and prudent risk management.</w:t>
      </w:r>
    </w:p>
    <w:bookmarkEnd w:id="27"/>
    <w:bookmarkStart w:id="28" w:name="digital-fluency"/>
    <w:p>
      <w:pPr>
        <w:pStyle w:val="Heading3"/>
      </w:pPr>
      <w:r>
        <w:t xml:space="preserve">4.3 Digital Fluency</w:t>
      </w:r>
    </w:p>
    <w:p>
      <w:pPr>
        <w:pStyle w:val="FirstParagraph"/>
      </w:pPr>
      <w:r>
        <w:t xml:space="preserve">The modern</w:t>
      </w:r>
      <w:r>
        <w:t xml:space="preserve"> </w:t>
      </w:r>
      <w:r>
        <w:rPr>
          <w:bCs/>
          <w:b/>
        </w:rPr>
        <w:t xml:space="preserve">Banker</w:t>
      </w:r>
    </w:p>
    <w:p>
      <w:pPr>
        <w:pStyle w:val="BodyText"/>
      </w:pPr>
      <w:r>
        <w:t xml:space="preserve">in</w:t>
      </w:r>
    </w:p>
    <w:p>
      <w:pPr>
        <w:pStyle w:val="BodyText"/>
      </w:pPr>
      <w:r>
        <w:t xml:space="preserve">Australia Melbourne</w:t>
      </w:r>
    </w:p>
    <w:p>
      <w:pPr>
        <w:pStyle w:val="BodyText"/>
      </w:pPr>
      <w:r>
        <w:t xml:space="preserve">must be fluent in digital banking platforms. They must guide clients through mobile app features, online mortgage applications, and investment portals. The ability to demystify technology for older demographics while satisfying the needs of millennials is a key performance indicator for this role.</w:t>
      </w:r>
    </w:p>
    <w:bookmarkEnd w:id="28"/>
    <w:bookmarkEnd w:id="29"/>
    <w:bookmarkStart w:id="30" w:name="project-implementation-strategy"/>
    <w:p>
      <w:pPr>
        <w:pStyle w:val="Heading2"/>
      </w:pPr>
      <w:r>
        <w:t xml:space="preserve">5. Project Implementation Strategy</w:t>
      </w:r>
    </w:p>
    <w:p>
      <w:pPr>
        <w:pStyle w:val="FirstParagraph"/>
      </w:pPr>
      <w:r>
        <w:t xml:space="preserve">To successfully deploy this new</w:t>
      </w:r>
    </w:p>
    <w:p>
      <w:pPr>
        <w:pStyle w:val="BodyText"/>
      </w:pPr>
      <w:r>
        <w:t xml:space="preserve">Banker</w:t>
      </w:r>
    </w:p>
    <w:p>
      <w:pPr>
        <w:pStyle w:val="BodyText"/>
      </w:pPr>
      <w:r>
        <w:t xml:space="preserve">framework in</w:t>
      </w:r>
    </w:p>
    <w:p>
      <w:pPr>
        <w:pStyle w:val="BodyText"/>
      </w:pPr>
      <w:r>
        <w:t xml:space="preserve">Australia Melbourne</w:t>
      </w:r>
    </w:p>
    <w:p>
      <w:pPr>
        <w:pStyle w:val="BodyText"/>
      </w:pPr>
      <w:r>
        <w:t xml:space="preserve">, the following steps are proposed:</w:t>
      </w:r>
    </w:p>
    <w:p>
      <w:pPr>
        <w:numPr>
          <w:ilvl w:val="0"/>
          <w:numId w:val="1001"/>
        </w:numPr>
        <w:pStyle w:val="Compact"/>
      </w:pPr>
      <w:r>
        <w:rPr>
          <w:bCs/>
          <w:b/>
        </w:rPr>
        <w:t xml:space="preserve">Talent Acquisition:</w:t>
      </w:r>
      <w:r>
        <w:t xml:space="preserve"> </w:t>
      </w:r>
      <w:r>
        <w:t xml:space="preserve">Recruit Bankers with existing networks in Melbourne and proven experience in Australian financial services.</w:t>
      </w:r>
    </w:p>
    <w:p>
      <w:pPr>
        <w:numPr>
          <w:ilvl w:val="0"/>
          <w:numId w:val="1001"/>
        </w:numPr>
        <w:pStyle w:val="Compact"/>
      </w:pPr>
      <w:r>
        <w:rPr>
          <w:bCs/>
          <w:b/>
        </w:rPr>
        <w:t xml:space="preserve">Specialized Training:</w:t>
      </w:r>
    </w:p>
    <w:p>
      <w:pPr>
        <w:numPr>
          <w:ilvl w:val="0"/>
          <w:numId w:val="1000"/>
        </w:numPr>
        <w:pStyle w:val="Compact"/>
      </w:pPr>
      <w:r>
        <w:t xml:space="preserve">Implement a comprehensive training program focused on APRA regulations, local market trends, and soft skills tailored to the multicultural demographic of Victoria.</w:t>
      </w:r>
    </w:p>
    <w:p>
      <w:pPr>
        <w:numPr>
          <w:ilvl w:val="0"/>
          <w:numId w:val="1001"/>
        </w:numPr>
        <w:pStyle w:val="Compact"/>
      </w:pPr>
      <w:r>
        <w:t xml:space="preserve">Tech Integration:</w:t>
      </w:r>
    </w:p>
    <w:p>
      <w:pPr>
        <w:numPr>
          <w:ilvl w:val="0"/>
          <w:numId w:val="1000"/>
        </w:numPr>
        <w:pStyle w:val="Compact"/>
      </w:pPr>
      <w:r>
        <w:t xml:space="preserve">Equip Bankers with advanced CRM tools that provide real-time insights into client financial health and behavioral patterns.</w:t>
      </w:r>
    </w:p>
    <w:p>
      <w:pPr>
        <w:numPr>
          <w:ilvl w:val="0"/>
          <w:numId w:val="1001"/>
        </w:numPr>
        <w:pStyle w:val="Compact"/>
      </w:pPr>
      <w:r>
        <w:t xml:space="preserve">Community Engagement:</w:t>
      </w:r>
    </w:p>
    <w:p>
      <w:pPr>
        <w:numPr>
          <w:ilvl w:val="0"/>
          <w:numId w:val="1000"/>
        </w:numPr>
        <w:pStyle w:val="Compact"/>
      </w:pPr>
      <w:r>
        <w:t xml:space="preserve">Incentivize Bankers to participate in local business councils and community events in Melbourne to build brand presence.</w:t>
      </w:r>
    </w:p>
    <w:bookmarkEnd w:id="30"/>
    <w:bookmarkStart w:id="31" w:name="expected-outcomes-and-benefits"/>
    <w:p>
      <w:pPr>
        <w:pStyle w:val="Heading2"/>
      </w:pPr>
      <w:r>
        <w:t xml:space="preserve">6. Expected Outcomes and Benefits</w:t>
      </w:r>
    </w:p>
    <w:p>
      <w:pPr>
        <w:pStyle w:val="FirstParagraph"/>
      </w:pPr>
      <w:r>
        <w:t xml:space="preserve">The strategic implementation of this enhanced</w:t>
      </w:r>
    </w:p>
    <w:p>
      <w:pPr>
        <w:pStyle w:val="BodyText"/>
      </w:pPr>
      <w:r>
        <w:t xml:space="preserve">Banker</w:t>
      </w:r>
    </w:p>
    <w:p>
      <w:pPr>
        <w:pStyle w:val="BodyText"/>
      </w:pPr>
      <w:r>
        <w:t xml:space="preserve">model is expected to yield significant benefits for our operations in</w:t>
      </w:r>
      <w:r>
        <w:t xml:space="preserve"> </w:t>
      </w:r>
      <w:r>
        <w:rPr>
          <w:bCs/>
          <w:b/>
        </w:rPr>
        <w:t xml:space="preserve">Australia Melbourne:</w:t>
      </w:r>
    </w:p>
    <w:p>
      <w:pPr>
        <w:numPr>
          <w:ilvl w:val="0"/>
          <w:numId w:val="1002"/>
        </w:numPr>
        <w:pStyle w:val="Compact"/>
      </w:pPr>
      <w:r>
        <w:t xml:space="preserve">Increased Revenue:</w:t>
      </w:r>
    </w:p>
    <w:p>
      <w:pPr>
        <w:numPr>
          <w:ilvl w:val="0"/>
          <w:numId w:val="1000"/>
        </w:numPr>
        <w:pStyle w:val="Compact"/>
      </w:pPr>
      <w:r>
        <w:t xml:space="preserve">Better cross-selling opportunities driven by deeper client relationships.</w:t>
      </w:r>
    </w:p>
    <w:p>
      <w:pPr>
        <w:numPr>
          <w:ilvl w:val="0"/>
          <w:numId w:val="1002"/>
        </w:numPr>
        <w:pStyle w:val="Compact"/>
      </w:pPr>
      <w:r>
        <w:t xml:space="preserve">Reduced Churn:</w:t>
      </w:r>
    </w:p>
    <w:p>
      <w:pPr>
        <w:numPr>
          <w:ilvl w:val="0"/>
          <w:numId w:val="1000"/>
        </w:numPr>
        <w:pStyle w:val="Compact"/>
      </w:pPr>
      <w:r>
        <w:t xml:space="preserve">Higher customer retention rates due to personalized service and trust.</w:t>
      </w:r>
    </w:p>
    <w:p>
      <w:pPr>
        <w:numPr>
          <w:ilvl w:val="0"/>
          <w:numId w:val="1002"/>
        </w:numPr>
        <w:pStyle w:val="Compact"/>
      </w:pPr>
      <w:r>
        <w:t xml:space="preserve">Regulatory Safety:</w:t>
      </w:r>
    </w:p>
    <w:p>
      <w:pPr>
        <w:numPr>
          <w:ilvl w:val="0"/>
          <w:numId w:val="1000"/>
        </w:numPr>
        <w:pStyle w:val="Compact"/>
      </w:pPr>
      <w:r>
        <w:t xml:space="preserve">A robust compliance culture minimizes the risk of fines and penalties from Australian regulators.</w:t>
      </w:r>
    </w:p>
    <w:p>
      <w:pPr>
        <w:numPr>
          <w:ilvl w:val="0"/>
          <w:numId w:val="1002"/>
        </w:numPr>
        <w:pStyle w:val="Compact"/>
      </w:pPr>
      <w:r>
        <w:t xml:space="preserve">Market Leadership:</w:t>
      </w:r>
    </w:p>
    <w:p>
      <w:pPr>
        <w:numPr>
          <w:ilvl w:val="0"/>
          <w:numId w:val="1000"/>
        </w:numPr>
        <w:pStyle w:val="Compact"/>
      </w:pPr>
      <w:r>
        <w:t xml:space="preserve">Differentiation from competitors through superior advisory services rather than price wars alone.</w:t>
      </w:r>
    </w:p>
    <w:bookmarkEnd w:id="31"/>
    <w:bookmarkStart w:id="32" w:name="conclusion"/>
    <w:p>
      <w:pPr>
        <w:pStyle w:val="Heading2"/>
      </w:pPr>
      <w:r>
        <w:t xml:space="preserve">7. Conclusion</w:t>
      </w:r>
    </w:p>
    <w:p>
      <w:pPr>
        <w:pStyle w:val="FirstParagraph"/>
      </w:pPr>
      <w:r>
        <w:t xml:space="preserve">This Project Report confirms that the effective deployment of the</w:t>
      </w:r>
    </w:p>
    <w:p>
      <w:pPr>
        <w:pStyle w:val="BodyText"/>
      </w:pPr>
      <w:r>
        <w:t xml:space="preserve">Banker</w:t>
      </w:r>
    </w:p>
    <w:p>
      <w:pPr>
        <w:pStyle w:val="BodyText"/>
      </w:pPr>
      <w:r>
        <w:t xml:space="preserve">role is not just a staffing requirement but a strategic imperative for success in</w:t>
      </w:r>
      <w:r>
        <w:t xml:space="preserve"> </w:t>
      </w:r>
      <w:r>
        <w:rPr>
          <w:bCs/>
          <w:b/>
        </w:rPr>
        <w:t xml:space="preserve">Australia Melbourne.</w:t>
      </w:r>
    </w:p>
    <w:p>
      <w:pPr>
        <w:pStyle w:val="BodyText"/>
      </w:pPr>
      <w:r>
        <w:t xml:space="preserve">The unique combination of regulatory rigor, technological advancement, and community-centric business culture in Melbourne demands Bankers who are more than just transaction processors. By investing in specialized training, digital tools, and community engagement for our Bankers, we position our institution to capture significant market share while maintaining the highest standards of integrity and service. We recommend immediate approval to proceed with the recruitment and training phases as outlined in this report.</w:t>
      </w:r>
    </w:p>
    <w:p>
      <w:r>
        <w:pict>
          <v:rect style="width:0;height:1.5pt" o:hralign="center" o:hrstd="t" o:hr="t"/>
        </w:pict>
      </w:r>
    </w:p>
    <w:p>
      <w:pPr>
        <w:pStyle w:val="FirstParagraph"/>
      </w:pPr>
      <w:r>
        <w:rPr>
          <w:iCs/>
          <w:i/>
        </w:rP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the Banker Role in Australia Melbourne</dc:title>
  <dc:creator/>
  <dc:language>en</dc:language>
  <cp:keywords/>
  <dcterms:created xsi:type="dcterms:W3CDTF">2026-07-29T17:58:59Z</dcterms:created>
  <dcterms:modified xsi:type="dcterms:W3CDTF">2026-07-29T17:58:59Z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