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France</w:t>
      </w:r>
      <w:r>
        <w:t xml:space="preserve"> </w:t>
      </w:r>
      <w:r>
        <w:t xml:space="preserve">Paris</w:t>
      </w:r>
    </w:p>
    <w:bookmarkStart w:id="26" w:name="the-modern-banker-in-france-paris"/>
    <w:p>
      <w:pPr>
        <w:pStyle w:val="Heading1"/>
      </w:pPr>
      <w:r>
        <w:t xml:space="preserve">The Modern Banker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 &amp; Regulatory Compliance Board</w:t>
      </w:r>
      <w:r>
        <w:br/>
      </w:r>
      <w:r>
        <w:rPr>
          <w:bCs/>
          <w:b/>
        </w:rPr>
        <w:t xml:space="preserve">Digital Transformation Office, Paris Regional Headquarters</w:t>
      </w:r>
      <w:r>
        <w:br/>
      </w:r>
    </w:p>
    <w:bookmarkStart w:id="20" w:name="executive-summary"/>
    <w:p>
      <w:pPr>
        <w:pStyle w:val="Heading2"/>
      </w:pPr>
      <w:r>
        <w:t xml:space="preserve">1. Executive Summary</w:t>
      </w:r>
    </w:p>
    <w:p>
      <w:pPr>
        <w:pStyle w:val="FirstParagraph"/>
      </w:pPr>
      <w:r>
        <w:t xml:space="preserve">This comprehensive report analyzes the evolving role of the modern</w:t>
      </w:r>
      <w:r>
        <w:t xml:space="preserve"> </w:t>
      </w:r>
      <w:r>
        <w:rPr>
          <w:rStyle w:val="VerbatimChar"/>
        </w:rPr>
        <w:t xml:space="preserve">Banker</w:t>
      </w:r>
      <w:r>
        <w:t xml:space="preserve">. In</w:t>
      </w:r>
      <w:r>
        <w:t xml:space="preserve"> </w:t>
      </w:r>
      <w:r>
        <w:rPr>
          <w:iCs/>
          <w:i/>
        </w:rPr>
        <w:t xml:space="preserve">France Paris</w:t>
      </w:r>
      <w:r>
        <w:t xml:space="preserve">, this evolution is not merely a shift in technology but a cultural and operational transformation driven by stringent European regulations, deep-rooted client expectations for luxury service, and rapid digital adoption. This document outlines key strategic priorities for integrating advanced banking solutions while maintaining the traditional prestige associated with the French financial sector.</w:t>
      </w:r>
    </w:p>
    <w:bookmarkEnd w:id="20"/>
    <w:bookmarkStart w:id="22" w:name="the-evolving-role-of-the-banker"/>
    <w:p>
      <w:pPr>
        <w:pStyle w:val="Heading2"/>
      </w:pPr>
      <w:r>
        <w:t xml:space="preserve">2. The Evolving Role of the Banker</w:t>
      </w:r>
    </w:p>
    <w:p>
      <w:pPr>
        <w:pStyle w:val="FirstParagraph"/>
      </w:pPr>
      <w:r>
        <w:t xml:space="preserve">The identity of a</w:t>
      </w:r>
      <w:r>
        <w:t xml:space="preserve"> </w:t>
      </w:r>
      <w:r>
        <w:rPr>
          <w:rStyle w:val="VerbatimChar"/>
        </w:rPr>
        <w:t xml:space="preserve">Banker</w:t>
      </w:r>
      <w:r>
        <w:t xml:space="preserve">. is undergoing profound changes. Traditionally, this role was defined by face-to-face interactions in grand banking halls and personalized wealth management advice. However, as financial services become increasingly democratized through fintech platforms, the traditional</w:t>
      </w:r>
      <w:r>
        <w:t xml:space="preserve"> </w:t>
      </w:r>
      <w:r>
        <w:rPr>
          <w:iCs/>
          <w:i/>
        </w:rPr>
        <w:t xml:space="preserve">Banker</w:t>
      </w:r>
      <w:r>
        <w:t xml:space="preserve">. must pivot from transactional processing to strategic advisory roles.</w:t>
      </w:r>
    </w:p>
    <w:p>
      <w:pPr>
        <w:pStyle w:val="BodyText"/>
      </w:pPr>
      <w:r>
        <w:t xml:space="preserve">In the context of</w:t>
      </w:r>
      <w:r>
        <w:t xml:space="preserve"> </w:t>
      </w:r>
      <w:r>
        <w:rPr>
          <w:rStyle w:val="VerbatimChar"/>
        </w:rPr>
        <w:t xml:space="preserve">France Paris</w:t>
      </w:r>
      <w:r>
        <w:t xml:space="preserve">, this shift is particularly nuanced. Clients in this cosmopolitan hub expect a seamless blend of high-tech efficiency and bespoke human touch. A successful</w:t>
      </w:r>
      <w:r>
        <w:t xml:space="preserve"> </w:t>
      </w:r>
      <w:r>
        <w:rPr>
          <w:iCs/>
          <w:i/>
        </w:rPr>
        <w:t xml:space="preserve">Banker</w:t>
      </w:r>
      <w:r>
        <w:t xml:space="preserve">. today acts not just as a gatekeeper of capital but as a holistic financial partner, guiding clients through complex global markets, sustainable investments, and intergenerational wealth transfer.</w:t>
      </w:r>
    </w:p>
    <w:p>
      <w:pPr>
        <w:pStyle w:val="BodyText"/>
      </w:pPr>
      <w:r>
        <w:t xml:space="preserve">This transformation requires continuous upskilling. The modern</w:t>
      </w:r>
      <w:r>
        <w:t xml:space="preserve"> </w:t>
      </w:r>
      <w:r>
        <w:rPr>
          <w:rStyle w:val="VerbatimChar"/>
        </w:rPr>
        <w:t xml:space="preserve">Banker</w:t>
      </w:r>
      <w:r>
        <w:t xml:space="preserve">. must possess deep expertise in regulatory compliance (such as GDPR and AML/KYC protocols) alongside soft skills like empathy and negotiation. In</w:t>
      </w:r>
      <w:r>
        <w:t xml:space="preserve"> </w:t>
      </w:r>
      <w:r>
        <w:rPr>
          <w:iCs/>
          <w:i/>
        </w:rPr>
        <w:t xml:space="preserve">France Paris</w:t>
      </w:r>
      <w:r>
        <w:t xml:space="preserve">, where etiquette and formalities hold significant weight, the ability to build trust through personal rapport remains a critical competitive advantage.</w:t>
      </w:r>
    </w:p>
    <w:bookmarkStart w:id="21" w:name="key-competencies-for-the-modern-banker"/>
    <w:p>
      <w:pPr>
        <w:pStyle w:val="Heading3"/>
      </w:pPr>
      <w:r>
        <w:t xml:space="preserve">2.1 Key Competencies for the Modern Banker</w:t>
      </w:r>
    </w:p>
    <w:p>
      <w:pPr>
        <w:numPr>
          <w:ilvl w:val="0"/>
          <w:numId w:val="1001"/>
        </w:numPr>
        <w:pStyle w:val="Compact"/>
      </w:pPr>
      <w:r>
        <w:rPr>
          <w:bCs/>
          <w:b/>
        </w:rPr>
        <w:t xml:space="preserve">Digital Fluency:</w:t>
      </w:r>
      <w:r>
        <w:t xml:space="preserve">. Understanding blockchain, AI-driven analytics, and secure cloud banking environments.</w:t>
      </w:r>
    </w:p>
    <w:p>
      <w:pPr>
        <w:numPr>
          <w:ilvl w:val="0"/>
          <w:numId w:val="1001"/>
        </w:numPr>
        <w:pStyle w:val="Compact"/>
      </w:pPr>
      <w:r>
        <w:rPr>
          <w:bCs/>
          <w:b/>
        </w:rPr>
        <w:t xml:space="preserve">Cultural Intelligence:</w:t>
      </w:r>
      <w:r>
        <w:t xml:space="preserve">. Navigating the diverse clientele of</w:t>
      </w:r>
      <w:r>
        <w:t xml:space="preserve"> </w:t>
      </w:r>
      <w:r>
        <w:rPr>
          <w:rStyle w:val="VerbatimChar"/>
        </w:rPr>
        <w:t xml:space="preserve">France Paris</w:t>
      </w:r>
      <w:r>
        <w:t xml:space="preserve">, which includes local elites, international expatriates, and global tourists.</w:t>
      </w:r>
    </w:p>
    <w:p>
      <w:pPr>
        <w:numPr>
          <w:ilvl w:val="0"/>
          <w:numId w:val="1001"/>
        </w:numPr>
        <w:pStyle w:val="Compact"/>
      </w:pPr>
      <w:r>
        <w:rPr>
          <w:bCs/>
          <w:b/>
        </w:rPr>
        <w:t xml:space="preserve">Regulatory Acumen:</w:t>
      </w:r>
      <w:r>
        <w:t xml:space="preserve">: Mastery of EU banking directives and French national financial regulations.</w:t>
      </w:r>
    </w:p>
    <w:bookmarkEnd w:id="21"/>
    <w:bookmarkEnd w:id="22"/>
    <w:bookmarkStart w:id="23" w:name="X0858ad3e88965870610d5123896062d76e9881b"/>
    <w:p>
      <w:pPr>
        <w:pStyle w:val="Heading2"/>
      </w:pPr>
      <w:r>
        <w:t xml:space="preserve">.3. The Unique Landscape of Banking in France Paris</w:t>
      </w:r>
    </w:p>
    <w:p>
      <w:pPr>
        <w:pStyle w:val="FirstParagraph"/>
      </w:pPr>
      <w:r>
        <w:t xml:space="preserve">The city of</w:t>
      </w:r>
      <w:r>
        <w:t xml:space="preserve"> </w:t>
      </w:r>
      <w:r>
        <w:rPr>
          <w:rStyle w:val="VerbatimChar"/>
        </w:rPr>
        <w:t xml:space="preserve">France Paris</w:t>
      </w:r>
      <w:r>
        <w:t xml:space="preserve">. stands as a historic center for finance, hosting major institutions such as BNP Paribas, Société Générale, and Crédit Agricole. However., the market is no longer monopolized by these giants. Neobanks and digital-first challengers are gaining significant traction among younger demographics in this vibrant metropolis.</w:t>
      </w:r>
    </w:p>
    <w:p>
      <w:pPr>
        <w:pStyle w:val="BodyText"/>
      </w:pPr>
      <w:r>
        <w:t xml:space="preserve">.3.1 Regulatory Environment</w:t>
      </w:r>
    </w:p>
    <w:p>
      <w:pPr>
        <w:pStyle w:val="BodyText"/>
      </w:pPr>
      <w:r>
        <w:t xml:space="preserve">Operating as a</w:t>
      </w:r>
      <w:r>
        <w:t xml:space="preserve"> </w:t>
      </w:r>
      <w:r>
        <w:rPr>
          <w:rStyle w:val="VerbatimChar"/>
        </w:rPr>
        <w:t xml:space="preserve">Banker</w:t>
      </w:r>
      <w:r>
        <w:t xml:space="preserve">. in</w:t>
      </w:r>
      <w:r>
        <w:t xml:space="preserve"> </w:t>
      </w:r>
      <w:r>
        <w:rPr>
          <w:iCs/>
          <w:i/>
        </w:rPr>
        <w:t xml:space="preserve">France Paris</w:t>
      </w:r>
      <w:r>
        <w:t xml:space="preserve"> </w:t>
      </w:r>
      <w:r>
        <w:t xml:space="preserve">requires strict adherence to regulations set by the Autorité de Contrôle Prudentiel et de Résolution (ACPR) and the European Central Bank (ECB). Compliance is non-negotiable. Recent anti-money laundering crackdowns have led to substantial fines for international banks, highlighting the need for robust internal control systems. The</w:t>
      </w:r>
      <w:r>
        <w:t xml:space="preserve"> </w:t>
      </w:r>
      <w:r>
        <w:rPr>
          <w:iCs/>
          <w:i/>
        </w:rPr>
        <w:t xml:space="preserve">Banker</w:t>
      </w:r>
      <w:r>
        <w:t xml:space="preserve">. must ensure that every transaction, especially those involving cross-border capital flows typical in a global hub like</w:t>
      </w:r>
      <w:r>
        <w:t xml:space="preserve"> </w:t>
      </w:r>
      <w:r>
        <w:rPr>
          <w:rStyle w:val="VerbatimChar"/>
        </w:rPr>
        <w:t xml:space="preserve">France Paris</w:t>
      </w:r>
      <w:r>
        <w:t xml:space="preserve">, is meticulously documented and verified.</w:t>
      </w:r>
    </w:p>
    <w:p>
      <w:pPr>
        <w:pStyle w:val="BodyText"/>
      </w:pPr>
      <w:r>
        <w:t xml:space="preserve">.3.2 Client Expectations and Trust</w:t>
      </w:r>
    </w:p>
    <w:p>
      <w:pPr>
        <w:pStyle w:val="BodyText"/>
      </w:pPr>
      <w:r>
        <w:t xml:space="preserve">French clients place high value on privacy and discretion. The reputation of a</w:t>
      </w:r>
      <w:r>
        <w:t xml:space="preserve"> </w:t>
      </w:r>
      <w:r>
        <w:rPr>
          <w:rStyle w:val="VerbatimChar"/>
        </w:rPr>
        <w:t xml:space="preserve">Banker</w:t>
      </w:r>
      <w:r>
        <w:t xml:space="preserve">. is heavily influenced by their ability to safeguard client information while providing transparent advice. In</w:t>
      </w:r>
      <w:r>
        <w:t xml:space="preserve"> </w:t>
      </w:r>
      <w:r>
        <w:rPr>
          <w:iCs/>
          <w:i/>
        </w:rPr>
        <w:t xml:space="preserve">France Paris</w:t>
      </w:r>
      <w:r>
        <w:t xml:space="preserve">, where financial disputes can quickly impact institutional reputations, transparency regarding fees, risks, and investment strategies is paramount.</w:t>
      </w:r>
    </w:p>
    <w:bookmarkEnd w:id="23"/>
    <w:bookmarkStart w:id="24" w:name="X35277a3f0de7e38d00ece2a3bfa93f72b75e1ef"/>
    <w:p>
      <w:pPr>
        <w:pStyle w:val="Heading2"/>
      </w:pPr>
      <w:r>
        <w:t xml:space="preserve">4. Strategic Recommendations for Implementation</w:t>
      </w:r>
    </w:p>
    <w:p>
      <w:pPr>
        <w:pStyle w:val="FirstParagraph"/>
      </w:pPr>
      <w:r>
        <w:t xml:space="preserve">To maintain competitiveness in the dynamic environment of</w:t>
      </w:r>
      <w:r>
        <w:t xml:space="preserve"> </w:t>
      </w:r>
      <w:r>
        <w:rPr>
          <w:rStyle w:val="VerbatimChar"/>
        </w:rPr>
        <w:t xml:space="preserve">France Paris</w:t>
      </w:r>
      <w:r>
        <w:t xml:space="preserve">. we recommend the following strategic initiatives for all personnel serving as a</w:t>
      </w:r>
      <w:r>
        <w:t xml:space="preserve"> </w:t>
      </w:r>
      <w:r>
        <w:rPr>
          <w:iCs/>
          <w:i/>
        </w:rPr>
        <w:t xml:space="preserve">Banker</w:t>
      </w:r>
      <w:r>
        <w:t xml:space="preserve">.</w:t>
      </w:r>
    </w:p>
    <w:p>
      <w:pPr>
        <w:pStyle w:val="BodyText"/>
      </w:pPr>
      <w:r>
        <w:t xml:space="preserve">.1 Invest in Hybrid Technology Platforms.</w:t>
      </w:r>
    </w:p>
    <w:p>
      <w:pPr>
        <w:pStyle w:val="BodyText"/>
      </w:pPr>
      <w:r>
        <w:t xml:space="preserve">Implement AI-driven tools that assist the</w:t>
      </w:r>
      <w:r>
        <w:t xml:space="preserve"> </w:t>
      </w:r>
      <w:r>
        <w:rPr>
          <w:rStyle w:val="VerbatimChar"/>
        </w:rPr>
        <w:t xml:space="preserve">Banker</w:t>
      </w:r>
      <w:r>
        <w:t xml:space="preserve">. in analyzing client data without replacing human judgment. These tools should highlight opportunities for personalized advice based on spending patterns and financial goals, tailored specifically to the economic realities of</w:t>
      </w:r>
      <w:r>
        <w:t xml:space="preserve"> </w:t>
      </w:r>
      <w:r>
        <w:rPr>
          <w:iCs/>
          <w:i/>
        </w:rPr>
        <w:t xml:space="preserve">France Paris</w:t>
      </w:r>
      <w:r>
        <w:t xml:space="preserve">.</w:t>
      </w:r>
    </w:p>
    <w:p>
      <w:pPr>
        <w:pStyle w:val="BodyText"/>
      </w:pPr>
      <w:r>
        <w:t xml:space="preserve">.2 Enhance Training Programs.</w:t>
      </w:r>
    </w:p>
    <w:p>
      <w:pPr>
        <w:pStyle w:val="BodyText"/>
      </w:pPr>
      <w:r>
        <w:t xml:space="preserve">Create specialized training modules focusing on the regulatory landscape of</w:t>
      </w:r>
      <w:r>
        <w:t xml:space="preserve"> </w:t>
      </w:r>
      <w:r>
        <w:rPr>
          <w:rStyle w:val="VerbatimChar"/>
        </w:rPr>
        <w:t xml:space="preserve">France Paris</w:t>
      </w:r>
      <w:r>
        <w:t xml:space="preserve">. Regular workshops should simulate compliance scenarios, ensuring that every</w:t>
      </w:r>
      <w:r>
        <w:t xml:space="preserve"> </w:t>
      </w:r>
      <w:r>
        <w:rPr>
          <w:iCs/>
          <w:i/>
        </w:rPr>
        <w:t xml:space="preserve">Banker</w:t>
      </w:r>
      <w:r>
        <w:t xml:space="preserve">. is up-to-date with the latest legal requirements and best practices for customer due diligence.</w:t>
      </w:r>
    </w:p>
    <w:p>
      <w:pPr>
        <w:pStyle w:val="BodyText"/>
      </w:pPr>
      <w:r>
        <w:t xml:space="preserve">.4 Foster a Culture of Innovation.</w:t>
      </w:r>
    </w:p>
    <w:p>
      <w:pPr>
        <w:pStyle w:val="BodyText"/>
      </w:pPr>
      <w:r>
        <w:t xml:space="preserve">Bankers. in</w:t>
      </w:r>
      <w:r>
        <w:t xml:space="preserve"> </w:t>
      </w:r>
      <w:r>
        <w:rPr>
          <w:iCs/>
          <w:i/>
        </w:rPr>
        <w:t xml:space="preserve">France Paris</w:t>
      </w:r>
      <w:r>
        <w:t xml:space="preserve"> </w:t>
      </w:r>
      <w:r>
        <w:t xml:space="preserve">can faster adapt to market changes and offer cutting-edge financial products that meet the demands of a tech-savvy clientele.</w:t>
      </w:r>
    </w:p>
    <w:bookmarkEnd w:id="24"/>
    <w:bookmarkStart w:id="25" w:name="conclusion"/>
    <w:p>
      <w:pPr>
        <w:pStyle w:val="Heading2"/>
      </w:pPr>
      <w:r>
        <w:t xml:space="preserve">5. Conclusion</w:t>
      </w:r>
    </w:p>
    <w:p>
      <w:pPr>
        <w:pStyle w:val="FirstParagraph"/>
      </w:pPr>
      <w:r>
        <w:t xml:space="preserve">The future of banking in</w:t>
      </w:r>
      <w:r>
        <w:t xml:space="preserve"> </w:t>
      </w:r>
      <w:r>
        <w:rPr>
          <w:rStyle w:val="VerbatimChar"/>
        </w:rPr>
        <w:t xml:space="preserve">France Paris</w:t>
      </w:r>
      <w:r>
        <w:t xml:space="preserve">. depends on our ability to harmonize tradition with innovation. The role of the</w:t>
      </w:r>
      <w:r>
        <w:t xml:space="preserve"> </w:t>
      </w:r>
      <w:r>
        <w:rPr>
          <w:iCs/>
          <w:i/>
        </w:rPr>
        <w:t xml:space="preserve">Banker</w:t>
      </w:r>
      <w:r>
        <w:t xml:space="preserve">. is more crucial than ever as a trusted advisor, compliance guardian, and strategic partner. By embracing these changes and investing in both technology and human capital, we can secure a leading position in this prestigious financial hub.</w:t>
      </w:r>
    </w:p>
    <w:p>
      <w:pPr>
        <w:pStyle w:val="BodyText"/>
      </w:pPr>
      <w:r>
        <w:t xml:space="preserve">In summary, success requires a holistic approach where every</w:t>
      </w:r>
      <w:r>
        <w:t xml:space="preserve"> </w:t>
      </w:r>
      <w:r>
        <w:rPr>
          <w:rStyle w:val="VerbatimChar"/>
        </w:rPr>
        <w:t xml:space="preserve">Banker</w:t>
      </w:r>
      <w:r>
        <w:t xml:space="preserve">. understands that they are not just managing money but nurturing long-term relationships within the unique economic ecosystem of</w:t>
      </w:r>
      <w:r>
        <w:t xml:space="preserve"> </w:t>
      </w:r>
      <w:r>
        <w:rPr>
          <w:iCs/>
          <w:i/>
        </w:rPr>
        <w:t xml:space="preserve">France Paris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Banker in France Paris</dc:title>
  <dc:creator/>
  <dc:language>en</dc:language>
  <cp:keywords/>
  <dcterms:created xsi:type="dcterms:W3CDTF">2026-07-29T07:00:04Z</dcterms:created>
  <dcterms:modified xsi:type="dcterms:W3CDTF">2026-07-29T07:00:04Z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