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Banking</w:t>
      </w:r>
      <w:r>
        <w:t xml:space="preserve"> </w:t>
      </w:r>
      <w:r>
        <w:t xml:space="preserve">Solutions</w:t>
      </w:r>
      <w:r>
        <w:t xml:space="preserve"> </w:t>
      </w:r>
      <w:r>
        <w:t xml:space="preserve">in</w:t>
      </w:r>
      <w:r>
        <w:t xml:space="preserve"> </w:t>
      </w:r>
      <w:r>
        <w:t xml:space="preserve">Germany</w:t>
      </w:r>
      <w:r>
        <w:t xml:space="preserve"> </w:t>
      </w:r>
      <w:r>
        <w:t xml:space="preserve">Munich</w:t>
      </w:r>
    </w:p>
    <w:bookmarkStart w:id="32" w:name="X2f5e04be8814f33d3cb40465f893123eb458cbf"/>
    <w:p>
      <w:pPr>
        <w:pStyle w:val="Heading1"/>
      </w:pPr>
      <w:r>
        <w:t xml:space="preserve">Project Report: Strategic Banking Implementation in Germany 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Global Finance Division</w:t>
      </w:r>
      <w:r>
        <w:br/>
      </w:r>
      <w:r>
        <w:rPr>
          <w:bCs/>
          <w:b/>
        </w:rPr>
        <w:t xml:space="preserve">From:</w:t>
      </w:r>
      <w:r>
        <w:t xml:space="preserve"> </w:t>
      </w:r>
      <w:r>
        <w:t xml:space="preserve">Project Management Office (PMO)</w:t>
      </w:r>
      <w:r>
        <w:br/>
      </w:r>
    </w:p>
    <w:bookmarkStart w:id="20" w:name="executive-summary"/>
    <w:p>
      <w:pPr>
        <w:pStyle w:val="Heading3"/>
      </w:pPr>
      <w:r>
        <w:t xml:space="preserve">Executive Summary</w:t>
      </w:r>
    </w:p>
    <w:p>
      <w:pPr>
        <w:pStyle w:val="FirstParagraph"/>
      </w:pPr>
      <w:r>
        <w:t xml:space="preserve">This document serves as a comprehensive Project Report detailing the strategic expansion and operational restructuring of our banking services within the dynamic economic hub of Germany Munich. The primary objective of this initiative is to establish a robust, compliant, and customer-centric framework that aligns with local regulatory standards while leveraging Munich's status as a premier financial center in Southern Germany. By focusing on specialized banking products tailored for both private clients and corporate entities, we aim to capture significant market share in this affluent region.</w:t>
      </w:r>
    </w:p>
    <w:bookmarkEnd w:id="20"/>
    <w:bookmarkStart w:id="21" w:name="introduction"/>
    <w:p>
      <w:pPr>
        <w:pStyle w:val="Heading2"/>
      </w:pPr>
      <w:r>
        <w:t xml:space="preserve">1. Introduction</w:t>
      </w:r>
    </w:p>
    <w:p>
      <w:pPr>
        <w:pStyle w:val="FirstParagraph"/>
      </w:pPr>
      <w:r>
        <w:t xml:space="preserve">The landscape of modern finance requires agility, precision, and an intimate understanding of local markets. This Project Report outlines the phases required to integrate our banking operations seamlessly into the German financial ecosystem, specifically targeting Germany Munich as our pilot location for Central European expansion.</w:t>
      </w:r>
    </w:p>
    <w:bookmarkEnd w:id="21"/>
    <w:bookmarkStart w:id="24" w:name="X00adfb63d570a3e73d712129102b84019a14a36"/>
    <w:p>
      <w:pPr>
        <w:pStyle w:val="Heading2"/>
      </w:pPr>
      <w:r>
        <w:t xml:space="preserve">2. Market Analysis: The Appeal of Germany Munich</w:t>
      </w:r>
    </w:p>
    <w:p>
      <w:pPr>
        <w:pStyle w:val="FirstParagraph"/>
      </w:pPr>
      <w:r>
        <w:t xml:space="preserve">Munich represents one of the most economically resilient regions in Europe. As the capital of Bavaria, it is home to a high concentration of wealth, technological innovation, and corporate headquarters (such as Siemens and BMW). For our banking strategy, this demographic offers unparalleled opportunities for high-net-worth individual services and mid-market corporate finance.</w:t>
      </w:r>
    </w:p>
    <w:bookmarkStart w:id="22" w:name="economic-indicators"/>
    <w:p>
      <w:pPr>
        <w:pStyle w:val="Heading3"/>
      </w:pPr>
      <w:r>
        <w:t xml:space="preserve">2.1 Economic Indicators</w:t>
      </w:r>
    </w:p>
    <w:p>
      <w:pPr>
        <w:pStyle w:val="FirstParagraph"/>
      </w:pPr>
      <w:r>
        <w:t xml:space="preserve">The local economy in Germany Munich is characterized by low unemployment rates and a strong industrial base. Residents generally possess higher-than-average disposable income, making them ideal candidates for premium banking packages, wealth management services, and specialized investment vehicles.</w:t>
      </w:r>
    </w:p>
    <w:bookmarkEnd w:id="22"/>
    <w:bookmarkStart w:id="23" w:name="competitive-landscape"/>
    <w:p>
      <w:pPr>
        <w:pStyle w:val="Heading3"/>
      </w:pPr>
      <w:r>
        <w:t xml:space="preserve">2.2 Competitive Landscape</w:t>
      </w:r>
    </w:p>
    <w:p>
      <w:pPr>
        <w:pStyle w:val="FirstParagraph"/>
      </w:pPr>
      <w:r>
        <w:t xml:space="preserve">The market in Germany Munich is dominated by traditional Sparkassen (Savings Banks), cooperative banks (Volksbanken), and large national entities like Deutsche Bank. However, there is a growing demand for digital-first banking solutions that do not compromise on security or personal advisory services. Our Project Report identifies this gap as our primary entry point.</w:t>
      </w:r>
    </w:p>
    <w:bookmarkEnd w:id="23"/>
    <w:bookmarkEnd w:id="24"/>
    <w:bookmarkStart w:id="25" w:name="X4bc4b1c7ef29040b8a00b7c589cb9a284653636"/>
    <w:p>
      <w:pPr>
        <w:pStyle w:val="Heading2"/>
      </w:pPr>
      <w:r>
        <w:t xml:space="preserve">3. Regulatory Compliance and Legal Framework</w:t>
      </w:r>
    </w:p>
    <w:p>
      <w:pPr>
        <w:pStyle w:val="FirstParagraph"/>
      </w:pPr>
      <w:r>
        <w:t xml:space="preserve">Navigating the regulatory environment in Germany Munich requires strict adherence to both national laws and European Union directives. The Project Report highlights several critical compliance areas:</w:t>
      </w:r>
    </w:p>
    <w:p>
      <w:pPr>
        <w:numPr>
          <w:ilvl w:val="0"/>
          <w:numId w:val="1001"/>
        </w:numPr>
        <w:pStyle w:val="Compact"/>
      </w:pPr>
      <w:r>
        <w:rPr>
          <w:bCs/>
          <w:b/>
        </w:rPr>
        <w:t xml:space="preserve">BaFin Oversight:</w:t>
      </w:r>
      <w:r>
        <w:t xml:space="preserve">All banking activities must comply with the regulations set by the Federal Financial Supervisory Authority (BaFin). Our local branch will implement rigorous internal audit protocols to ensure continuous adherence.</w:t>
      </w:r>
    </w:p>
    <w:p>
      <w:pPr>
        <w:numPr>
          <w:ilvl w:val="0"/>
          <w:numId w:val="1001"/>
        </w:numPr>
        <w:pStyle w:val="Compact"/>
      </w:pPr>
      <w:r>
        <w:rPr>
          <w:bCs/>
          <w:b/>
        </w:rPr>
        <w:t xml:space="preserve">Data Protection (GDPR):</w:t>
      </w:r>
      <w:r>
        <w:t xml:space="preserve">Munich is known for its strong privacy standards. Our data handling procedures must exceed GDPR requirements, ensuring that customer information is protected with military-grade encryption and transparent consent mechanisms.</w:t>
      </w:r>
    </w:p>
    <w:p>
      <w:pPr>
        <w:numPr>
          <w:ilvl w:val="0"/>
          <w:numId w:val="1001"/>
        </w:numPr>
        <w:pStyle w:val="Compact"/>
      </w:pPr>
      <w:r>
        <w:rPr>
          <w:bCs/>
          <w:b/>
        </w:rPr>
        <w:t xml:space="preserve">KYC/AML Protocols:</w:t>
      </w:r>
      <w:r>
        <w:t xml:space="preserve">Implementing robust Know Your Customer (KYC) and Anti-Money Laundering (AML) systems is non-negotiable. The Project Report details the integration of AI-driven transaction monitoring tools to detect suspicious activities early.</w:t>
      </w:r>
    </w:p>
    <w:bookmarkEnd w:id="25"/>
    <w:bookmarkStart w:id="28" w:name="operational-strategy"/>
    <w:p>
      <w:pPr>
        <w:pStyle w:val="Heading2"/>
      </w:pPr>
      <w:r>
        <w:t xml:space="preserve">4. Operational Strategy</w:t>
      </w:r>
    </w:p>
    <w:p>
      <w:pPr>
        <w:pStyle w:val="FirstParagraph"/>
      </w:pPr>
      <w:r>
        <w:t xml:space="preserve">The operational framework for our banking presence in Germany Munich is built on three pillars: Digital Integration, Physical Presence, and Talent Acquisition.</w:t>
      </w:r>
    </w:p>
    <w:bookmarkStart w:id="26" w:name="digital-infrastructure"/>
    <w:p>
      <w:pPr>
        <w:pStyle w:val="Heading3"/>
      </w:pPr>
      <w:r>
        <w:t xml:space="preserve">4.1 Digital Infrastructure</w:t>
      </w:r>
    </w:p>
    <w:p>
      <w:pPr>
        <w:pStyle w:val="FirstParagraph"/>
      </w:pPr>
      <w:r>
        <w:t xml:space="preserve">Germans are increasingly adopting digital banking tools, but they demand high security. We will deploy a proprietary mobile app tailored for the German market, featuring biometric login capabilities and real-time transaction notifications. This digital layer will complement our physical branch in Munich.</w:t>
      </w:r>
    </w:p>
    <w:bookmarkEnd w:id="26"/>
    <w:bookmarkStart w:id="27" w:name="physical-branch-strategy"/>
    <w:p>
      <w:pPr>
        <w:pStyle w:val="Heading3"/>
      </w:pPr>
      <w:r>
        <w:t xml:space="preserve">4.2 Physical Branch Strategy</w:t>
      </w:r>
    </w:p>
    <w:p>
      <w:pPr>
        <w:pStyle w:val="FirstParagraph"/>
      </w:pPr>
      <w:r>
        <w:t xml:space="preserve">The Project Report proposes locating our flagship banking center in the Schwabing district, a bustling area with high foot traffic and a mix of residential and commercial activity. The branch will serve as a consultation hub for complex financial planning rather than just transactional processing.</w:t>
      </w:r>
    </w:p>
    <w:bookmarkEnd w:id="27"/>
    <w:bookmarkEnd w:id="28"/>
    <w:bookmarkStart w:id="29" w:name="human-resources-and-talent-acquisition"/>
    <w:p>
      <w:pPr>
        <w:pStyle w:val="Heading2"/>
      </w:pPr>
      <w:r>
        <w:t xml:space="preserve">5. Human Resources and Talent Acquisition</w:t>
      </w:r>
    </w:p>
    <w:p>
      <w:pPr>
        <w:pStyle w:val="FirstParagraph"/>
      </w:pPr>
      <w:r>
        <w:t xml:space="preserve">To succeed in Germany Munich, our banking team must reflect the multicultural nature of the city. We are actively recruiting local financial advisors who possess deep knowledge of Bavarian business culture. The Project Report emphasizes the importance of hiring staff fluent in both German and English to cater to international investors and tech professionals residing in Munich.</w:t>
      </w:r>
    </w:p>
    <w:bookmarkEnd w:id="29"/>
    <w:bookmarkStart w:id="30" w:name="financial-projections"/>
    <w:p>
      <w:pPr>
        <w:pStyle w:val="Heading2"/>
      </w:pPr>
      <w:r>
        <w:t xml:space="preserve">6. Financial Projections</w:t>
      </w:r>
    </w:p>
    <w:p>
      <w:pPr>
        <w:pStyle w:val="FirstParagraph"/>
      </w:pPr>
      <w:r>
        <w:t xml:space="preserve">Based on conservative estimates, the banking operations in Germany Munich are projected to reach break-even within eighteen months. Key revenue streams will include:</w:t>
      </w:r>
    </w:p>
    <w:p>
      <w:pPr>
        <w:numPr>
          <w:ilvl w:val="0"/>
          <w:numId w:val="1002"/>
        </w:numPr>
        <w:pStyle w:val="Compact"/>
      </w:pPr>
      <w:r>
        <w:t xml:space="preserve">Premium account fees for private clients.</w:t>
      </w:r>
    </w:p>
    <w:p>
      <w:pPr>
        <w:numPr>
          <w:ilvl w:val="0"/>
          <w:numId w:val="1002"/>
        </w:numPr>
        <w:pStyle w:val="Compact"/>
      </w:pPr>
      <w:r>
        <w:t xml:space="preserve">Cross-selling of insurance and investment products.</w:t>
      </w:r>
    </w:p>
    <w:p>
      <w:pPr>
        <w:numPr>
          <w:ilvl w:val="0"/>
          <w:numId w:val="1002"/>
        </w:numPr>
        <w:pStyle w:val="Compact"/>
      </w:pPr>
      <w:r>
        <w:t xml:space="preserve">Fees from corporate trade finance services.</w:t>
      </w:r>
    </w:p>
    <w:bookmarkEnd w:id="30"/>
    <w:bookmarkStart w:id="31" w:name="Xdd8413ef53d755d791292b33a3e031f29e0ae8b"/>
    <w:p>
      <w:pPr>
        <w:pStyle w:val="Heading2"/>
      </w:pPr>
      <w:r>
        <w:rPr>
          <w:iCs/>
          <w:i/>
          <w:bCs/>
          <w:b/>
        </w:rPr>
        <w:t xml:space="preserve">This Project Report confirms that the banking initiative in Germany Munich is viable, compliant, and poised for significant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Banking Solutions in Germany Munich</dc:title>
  <dc:creator/>
  <dc:language>en</dc:language>
  <cp:keywords/>
  <dcterms:created xsi:type="dcterms:W3CDTF">2026-07-29T06:34:06Z</dcterms:created>
  <dcterms:modified xsi:type="dcterms:W3CDTF">2026-07-29T06:34:06Z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