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Initiative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8" w:name="Xd107347c328abdf0e4971977445adfd5e687b7e"/>
    <w:p>
      <w:pPr>
        <w:pStyle w:val="Heading1"/>
      </w:pPr>
      <w:r>
        <w:t xml:space="preserve">Project Report: Strategic Implementation of the</w:t>
      </w:r>
      <w:r>
        <w:t xml:space="preserve"> </w:t>
      </w:r>
      <w:r>
        <w:rPr>
          <w:bCs/>
          <w:b/>
        </w:rPr>
        <w:t xml:space="preserve">Banker</w:t>
      </w:r>
      <w:r>
        <w:br/>
      </w:r>
      <w:r>
        <w:t xml:space="preserve">Solution in</w:t>
      </w:r>
      <w:r>
        <w:t xml:space="preserve"> </w:t>
      </w:r>
      <w:r>
        <w:rPr>
          <w:bCs/>
          <w:b/>
        </w:rPr>
        <w:t xml:space="preserve">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Status:</w:t>
      </w:r>
      <w:r>
        <w:t xml:space="preserve"> </w:t>
      </w:r>
      <w:r>
        <w:t xml:space="preserve">Final Report</w:t>
      </w:r>
    </w:p>
    <w:p>
      <w:pPr>
        <w:pStyle w:val="BodyText"/>
      </w:pPr>
      <w:r>
        <w:t xml:space="preserve">1. Executive Summary</w:t>
      </w:r>
    </w:p>
    <w:p>
      <w:pPr>
        <w:pStyle w:val="BodyText"/>
      </w:pPr>
      <w:r>
        <w:t xml:space="preserve">The modernization of financial infrastructure is a critical pillar in the economic reconstruction and growth strategy of</w:t>
      </w:r>
      <w:r>
        <w:t xml:space="preserve"> </w:t>
      </w:r>
      <w:r>
        <w:rPr>
          <w:bCs/>
          <w:b/>
        </w:rPr>
        <w:t xml:space="preserve">Iraq Baghdad</w:t>
      </w:r>
      <w:r>
        <w:t xml:space="preserve">. This project report outlines the successful deployment and integration of the advanced</w:t>
      </w:r>
      <w:r>
        <w:t xml:space="preserve"> </w:t>
      </w:r>
      <w:r>
        <w:rPr>
          <w:bCs/>
          <w:b/>
        </w:rPr>
        <w:t xml:space="preserve">Banker</w:t>
      </w:r>
      <w:r>
        <w:t xml:space="preserve"> </w:t>
      </w:r>
      <w:r>
        <w:t xml:space="preserve">system within the capital city's primary banking sector. The initiative, titled "Project Al-Rafidain," aims to bridge the gap between traditional Islamic banking practices in Iraq and modern fintech capabilities. By deploying a robust, secure, and Sharia-compliant version of the</w:t>
      </w:r>
      <w:r>
        <w:t xml:space="preserve"> </w:t>
      </w:r>
      <w:r>
        <w:rPr>
          <w:bCs/>
          <w:b/>
        </w:rPr>
        <w:t xml:space="preserve">Banker</w:t>
      </w:r>
      <w:r>
        <w:t xml:space="preserve"> </w:t>
      </w:r>
      <w:r>
        <w:t xml:space="preserve">platform in</w:t>
      </w:r>
      <w:r>
        <w:t xml:space="preserve"> </w:t>
      </w:r>
      <w:r>
        <w:rPr>
          <w:bCs/>
          <w:b/>
        </w:rPr>
        <w:t xml:space="preserve">Iraq Baghdad</w:t>
      </w:r>
      <w:r>
        <w:t xml:space="preserve">, we have established a new standard for transactional efficiency, security, and customer accessibility.</w:t>
      </w:r>
    </w:p>
    <w:p>
      <w:pPr>
        <w:pStyle w:val="BodyText"/>
      </w:pPr>
      <w:r>
        <w:t xml:space="preserve">The core objective was to migrate legacy systems to a unified digital ecosystem that serves both commercial banks and individual clients across the capital. The results indicate a 40% reduction in transaction processing time and a significant increase in digital banking adoption among residents of</w:t>
      </w:r>
      <w:r>
        <w:t xml:space="preserve"> </w:t>
      </w:r>
      <w:r>
        <w:rPr>
          <w:bCs/>
          <w:b/>
        </w:rPr>
        <w:t xml:space="preserve">Iraq Baghdad</w:t>
      </w:r>
      <w:r>
        <w:t xml:space="preserve">. This document details the methodologies, challenges, solutions, and future outlooks related to this transformative financial project.</w:t>
      </w:r>
    </w:p>
    <w:bookmarkStart w:id="20" w:name="background-and-context"/>
    <w:p>
      <w:pPr>
        <w:pStyle w:val="Heading2"/>
      </w:pPr>
      <w:r>
        <w:t xml:space="preserve">2. Background and Context</w:t>
      </w:r>
    </w:p>
    <w:p>
      <w:pPr>
        <w:pStyle w:val="FirstParagraph"/>
      </w:pPr>
      <w:r>
        <w:rPr>
          <w:bCs/>
          <w:b/>
        </w:rPr>
        <w:t xml:space="preserve">Iraq Baghdad</w:t>
      </w:r>
      <w:r>
        <w:t xml:space="preserve">, as the political and economic heart of Iraq, hosts a dense network of financial institutions. However, for many years, these institutions operated on fragmented legacy systems that were prone to delays, manual errors, and security vulnerabilities. The Central Bank of Iraq (CBI) identified the need for a centralized yet scalable solution to enhance liquidity management and cross-border transaction capabilities.</w:t>
      </w:r>
    </w:p>
    <w:p>
      <w:pPr>
        <w:pStyle w:val="BodyText"/>
      </w:pPr>
      <w:r>
        <w:t xml:space="preserve">The</w:t>
      </w:r>
      <w:r>
        <w:t xml:space="preserve"> </w:t>
      </w:r>
      <w:r>
        <w:rPr>
          <w:bCs/>
          <w:b/>
        </w:rPr>
        <w:t xml:space="preserve">Banker</w:t>
      </w:r>
      <w:r>
        <w:t xml:space="preserve"> </w:t>
      </w:r>
      <w:r>
        <w:t xml:space="preserve">solution was selected not merely as software but as a comprehensive banking ecosystem. It was chosen for its ability to support multi-currency transactions, integrate seamlessly with existing Iraqi banking hardware, and adhere strictly to the regulatory frameworks established by the CBI. The cultural context of</w:t>
      </w:r>
      <w:r>
        <w:t xml:space="preserve"> </w:t>
      </w:r>
      <w:r>
        <w:rPr>
          <w:bCs/>
          <w:b/>
        </w:rPr>
        <w:t xml:space="preserve">Iraq Baghdad</w:t>
      </w:r>
      <w:r>
        <w:t xml:space="preserve">, where trust and personal relationships are paramount in business, required a system that prioritized security transparency alongside speed.</w:t>
      </w:r>
    </w:p>
    <w:bookmarkEnd w:id="20"/>
    <w:bookmarkStart w:id="21" w:name="project-objectives"/>
    <w:p>
      <w:pPr>
        <w:pStyle w:val="Heading2"/>
      </w:pPr>
      <w:r>
        <w:t xml:space="preserve">3. Project Objectives</w:t>
      </w:r>
    </w:p>
    <w:p>
      <w:pPr>
        <w:pStyle w:val="FirstParagraph"/>
      </w:pPr>
      <w:r>
        <w:t xml:space="preserve">The implementation of the</w:t>
      </w:r>
      <w:r>
        <w:t xml:space="preserve"> </w:t>
      </w:r>
      <w:r>
        <w:rPr>
          <w:bCs/>
          <w:b/>
        </w:rPr>
        <w:t xml:space="preserve">Banker</w:t>
      </w:r>
      <w:r>
        <w:t xml:space="preserve"> </w:t>
      </w:r>
      <w:r>
        <w:t xml:space="preserve">platform in</w:t>
      </w:r>
    </w:p>
    <w:p>
      <w:pPr>
        <w:pStyle w:val="BodyText"/>
      </w:pPr>
      <w:r>
        <w:t xml:space="preserve">Iraq Baghdad was driven by four primary objectives:</w:t>
      </w:r>
    </w:p>
    <w:p>
      <w:pPr>
        <w:pStyle w:val="FirstParagraph"/>
      </w:pPr>
      <w:r>
        <w:rPr>
          <w:bCs/>
          <w:b/>
        </w:rPr>
        <w:t xml:space="preserve">Digital Transformation:</w:t>
      </w:r>
      <w:r>
        <w:t xml:space="preserve"> </w:t>
      </w:r>
      <w:r>
        <w:t xml:space="preserve">To transition 85% of retail banking operations in the capital to digital channels.</w:t>
      </w:r>
    </w:p>
    <w:p>
      <w:pPr>
        <w:pStyle w:val="BodyText"/>
      </w:pPr>
      <w:r>
        <w:rPr>
          <w:bCs/>
          <w:b/>
        </w:rPr>
        <w:t xml:space="preserve">Security Enhancement:</w:t>
      </w:r>
      <w:r>
        <w:t xml:space="preserve"> </w:t>
      </w:r>
      <w:r>
        <w:t xml:space="preserve">To implement blockchain-backed ledger technologies within the</w:t>
      </w:r>
    </w:p>
    <w:p>
      <w:pPr>
        <w:pStyle w:val="BodyText"/>
      </w:pPr>
      <w:r>
        <w:t xml:space="preserve">Banker architecture to prevent fraud and data tampering, addressing specific security concerns prevalent in post-conflict regions like</w:t>
      </w:r>
    </w:p>
    <w:p>
      <w:pPr>
        <w:pStyle w:val="BodyText"/>
      </w:pPr>
      <w:r>
        <w:t xml:space="preserve">Iraq Baghdad&lt;/&gt;.</w:t>
      </w:r>
    </w:p>
    <w:bookmarkEnd w:id="21"/>
    <w:bookmarkStart w:id="22" w:name="methodology"/>
    <w:p>
      <w:pPr>
        <w:pStyle w:val="Heading2"/>
      </w:pPr>
      <w:r>
        <w:t xml:space="preserve">4. Methodology and Implementation Phases</w:t>
      </w:r>
    </w:p>
    <w:p>
      <w:pPr>
        <w:pStyle w:val="FirstParagraph"/>
      </w:pPr>
      <w:r>
        <w:t xml:space="preserve">The deployment of the</w:t>
      </w:r>
      <w:r>
        <w:t xml:space="preserve"> </w:t>
      </w:r>
      <w:r>
        <w:rPr>
          <w:bCs/>
          <w:b/>
        </w:rPr>
        <w:t xml:space="preserve">Banker</w:t>
      </w:r>
      <w:r>
        <w:t xml:space="preserve"> </w:t>
      </w:r>
      <w:r>
        <w:t xml:space="preserve">system followed a rigorous three-phase approach tailored to the unique infrastructure conditions of</w:t>
      </w:r>
      <w:r>
        <w:t xml:space="preserve"> </w:t>
      </w:r>
      <w:r>
        <w:rPr>
          <w:bCs/>
          <w:b/>
        </w:rPr>
        <w:t xml:space="preserve">Iraq Baghdad:</w:t>
      </w:r>
    </w:p>
    <w:p>
      <w:pPr>
        <w:pStyle w:val="FirstParagraph"/>
      </w:pPr>
      <w:r>
        <w:rPr>
          <w:bCs/>
          <w:b/>
        </w:rPr>
        <w:t xml:space="preserve">Phase 1: Infrastructure Audit and Customization (Months 1-3):</w:t>
      </w:r>
      <w:r>
        <w:t xml:space="preserve"> </w:t>
      </w:r>
      <w:r>
        <w:t xml:space="preserve">We conducted a comprehensive audit of existing servers in key banks across</w:t>
      </w:r>
    </w:p>
    <w:p>
      <w:pPr>
        <w:pStyle w:val="BodyText"/>
      </w:pPr>
      <w:r>
        <w:t xml:space="preserve">Iraq Baghdad&lt;/&gt;. The &lt; strong&gt;Banker software was customized to support Arabic-language interfaces and integrated with local payment gateways. Special attention was paid to ensuring compatibility with intermittent power supplies by optimizing energy consumption profiles.</w:t>
      </w:r>
    </w:p>
    <w:bookmarkEnd w:id="22"/>
    <w:bookmarkStart w:id="23" w:name="challenges"/>
    <w:p>
      <w:pPr>
        <w:pStyle w:val="Heading2"/>
      </w:pPr>
      <w:r>
        <w:t xml:space="preserve">5. Challenges and Mitigation Strategies</w:t>
      </w:r>
    </w:p>
    <w:p>
      <w:pPr>
        <w:pStyle w:val="FirstParagraph"/>
      </w:pPr>
      <w:r>
        <w:t xml:space="preserve">Implementing high-tech solutions in</w:t>
      </w:r>
      <w:r>
        <w:t xml:space="preserve"> </w:t>
      </w:r>
      <w:r>
        <w:rPr>
          <w:bCs/>
          <w:b/>
        </w:rPr>
        <w:t xml:space="preserve">Iraq Baghdad</w:t>
      </w:r>
      <w:r>
        <w:t xml:space="preserve"> </w:t>
      </w:r>
      <w:r>
        <w:t xml:space="preserve">presented unique hurdles:</w:t>
      </w:r>
    </w:p>
    <w:p>
      <w:pPr>
        <w:pStyle w:val="FirstParagraph"/>
      </w:pPr>
      <w:r>
        <w:rPr>
          <w:bCs/>
          <w:b/>
        </w:rPr>
        <w:t xml:space="preserve">Connectivity Issues:</w:t>
      </w:r>
      <w:r>
        <w:t xml:space="preserve"> </w:t>
      </w:r>
      <w:r>
        <w:t xml:space="preserve">In certain districts of</w:t>
      </w:r>
    </w:p>
    <w:p>
      <w:pPr>
        <w:pStyle w:val="BodyText"/>
      </w:pPr>
      <w:r>
        <w:t xml:space="preserve">Iraq Baghdad&lt;/&gt;, internet stability is variable. The &lt; strong&gt;Banker system was equipped with offline-sync capabilities, allowing branches to store transactions locally and sync automatically when connectivity is restored.</w:t>
      </w:r>
    </w:p>
    <w:bookmarkEnd w:id="23"/>
    <w:bookmarkStart w:id="27" w:name="results-and-impact"/>
    <w:p>
      <w:pPr>
        <w:pStyle w:val="Heading2"/>
      </w:pPr>
      <w:r>
        <w:t xml:space="preserve">6. Results and Impact Analysis</w:t>
      </w:r>
    </w:p>
    <w:p>
      <w:pPr>
        <w:pStyle w:val="FirstParagraph"/>
      </w:pPr>
      <w:r>
        <w:t xml:space="preserve">Six months post-deployment, the impact of the</w:t>
      </w:r>
      <w:r>
        <w:t xml:space="preserve"> </w:t>
      </w:r>
      <w:r>
        <w:rPr>
          <w:bCs/>
          <w:b/>
        </w:rPr>
        <w:t xml:space="preserve">Banker</w:t>
      </w:r>
      <w:r>
        <w:t xml:space="preserve"> </w:t>
      </w:r>
      <w:r>
        <w:t xml:space="preserve">initiative in</w:t>
      </w:r>
      <w:r>
        <w:t xml:space="preserve"> </w:t>
      </w:r>
      <w:r>
        <w:rPr>
          <w:bCs/>
          <w:b/>
        </w:rPr>
        <w:t xml:space="preserve">Iraq Baghdad</w:t>
      </w:r>
      <w:r>
        <w:t xml:space="preserve"> </w:t>
      </w:r>
      <w:r>
        <w:t xml:space="preserve">has been profound:</w:t>
      </w:r>
    </w:p>
    <w:p>
      <w:pPr>
        <w:pStyle w:val="BodyText"/>
      </w:pPr>
      <w:r>
        <w:t xml:space="preserve">Benchmark Area</w:t>
      </w:r>
      <w:r>
        <w:br/>
      </w:r>
      <w:r>
        <w:t xml:space="preserve">Pre-Implementation</w:t>
      </w:r>
      <w:r>
        <w:br/>
      </w:r>
      <w:r>
        <w:t xml:space="preserve">Post-Implementation (6 Months)</w:t>
      </w:r>
      <w:r>
        <w:br/>
      </w:r>
    </w:p>
    <w:p>
      <w:pPr>
        <w:pStyle w:val="BodyText"/>
      </w:pPr>
      <w:r>
        <w:t xml:space="preserve">Average Transaction Time</w:t>
      </w:r>
    </w:p>
    <w:p>
      <w:pPr>
        <w:pStyle w:val="BodyText"/>
      </w:pPr>
      <w:r>
        <w:t xml:space="preserve">15 Minutes</w:t>
      </w:r>
    </w:p>
    <w:p>
      <w:pPr>
        <w:pStyle w:val="BodyText"/>
      </w:pPr>
      <w:r>
        <w:t xml:space="preserve">2 Minutes</w:t>
      </w:r>
    </w:p>
    <w:bookmarkStart w:id="24" w:name="future-outlook"/>
    <w:p>
      <w:pPr>
        <w:pStyle w:val="Heading4"/>
      </w:pPr>
      <w:r>
        <w:t xml:space="preserve">7. Future Outlook and Sustainability for</w:t>
      </w:r>
      <w:r>
        <w:t xml:space="preserve"> </w:t>
      </w:r>
      <w:r>
        <w:rPr>
          <w:bCs/>
          <w:b/>
        </w:rPr>
        <w:t xml:space="preserve">Iraq Baghdad</w:t>
      </w:r>
    </w:p>
    <w:p>
      <w:pPr>
        <w:pStyle w:val="FirstParagraph"/>
      </w:pPr>
      <w:r>
        <w:t xml:space="preserve">The success of the</w:t>
      </w:r>
      <w:r>
        <w:t xml:space="preserve"> </w:t>
      </w:r>
      <w:r>
        <w:rPr>
          <w:bCs/>
          <w:b/>
        </w:rPr>
        <w:t xml:space="preserve">Banker</w:t>
      </w:r>
      <w:r>
        <w:t xml:space="preserve"> </w:t>
      </w:r>
      <w:r>
        <w:t xml:space="preserve">project in</w:t>
      </w:r>
      <w:r>
        <w:t xml:space="preserve"> </w:t>
      </w:r>
      <w:r>
        <w:rPr>
          <w:bCs/>
          <w:b/>
        </w:rPr>
        <w:t xml:space="preserve">Iraq Baghdad</w:t>
      </w:r>
      <w:r>
        <w:t xml:space="preserve"> </w:t>
      </w:r>
      <w:r>
        <w:t xml:space="preserve">serves as a blueprint for future expansion across other governorates of Iraq. The next phase, "Project Al-Rafidain Phase II," will focus on expanding the</w:t>
      </w:r>
    </w:p>
    <w:p>
      <w:pPr>
        <w:pStyle w:val="BodyText"/>
      </w:pPr>
      <w:r>
        <w:t xml:space="preserve">Banker ecosystem to include micro-finance lending platforms tailored for small businesses in the markets of</w:t>
      </w:r>
    </w:p>
    <w:p>
      <w:pPr>
        <w:pStyle w:val="BodyText"/>
      </w:pPr>
      <w:r>
        <w:t xml:space="preserve">Iraq Baghdad. Additionally, plans are underway to integrate AI-driven financial advisory services within the app, further enhancing user engagement.</w:t>
      </w:r>
    </w:p>
    <w:bookmarkEnd w:id="24"/>
    <w:bookmarkStart w:id="25" w:name="conclusion"/>
    <w:p>
      <w:pPr>
        <w:pStyle w:val="Heading4"/>
      </w:pPr>
      <w:r>
        <w:t xml:space="preserve">8. Conclusion</w:t>
      </w:r>
    </w:p>
    <w:p>
      <w:pPr>
        <w:pStyle w:val="FirstParagraph"/>
      </w:pPr>
      <w:r>
        <w:t xml:space="preserve">The deployment of the</w:t>
      </w:r>
      <w:r>
        <w:t xml:space="preserve"> </w:t>
      </w:r>
      <w:r>
        <w:rPr>
          <w:bCs/>
          <w:b/>
        </w:rPr>
        <w:t xml:space="preserve">Banker</w:t>
      </w:r>
      <w:r>
        <w:t xml:space="preserve"> </w:t>
      </w:r>
      <w:r>
        <w:t xml:space="preserve">platform in</w:t>
      </w:r>
      <w:r>
        <w:t xml:space="preserve"> </w:t>
      </w:r>
      <w:r>
        <w:rPr>
          <w:bCs/>
          <w:b/>
        </w:rPr>
        <w:t xml:space="preserve">Iraq Baghdad</w:t>
      </w:r>
      <w:r>
        <w:t xml:space="preserve"> </w:t>
      </w:r>
      <w:r>
        <w:t xml:space="preserve">represents a milestone in Iraq's financial history. By successfully navigating local challenges and leveraging advanced technology, we have established a secure, efficient, and inclusive banking environment. The partnership between global fintech innovation and local Iraqi needs has proven that the</w:t>
      </w:r>
      <w:r>
        <w:t xml:space="preserve"> </w:t>
      </w:r>
      <w:r>
        <w:rPr>
          <w:bCs/>
          <w:b/>
        </w:rPr>
        <w:t xml:space="preserve">Banker</w:t>
      </w:r>
      <w:r>
        <w:t xml:space="preserve"> </w:t>
      </w:r>
      <w:r>
        <w:t xml:space="preserve">system is not just software but a catalyst for economic stability in the capital of</w:t>
      </w:r>
    </w:p>
    <w:p>
      <w:pPr>
        <w:pStyle w:val="BodyText"/>
      </w:pPr>
      <w:r>
        <w:t xml:space="preserve">Iraq Baghdad. We recommend immediate approval for Phase II funding to sustain this momentum.</w:t>
      </w:r>
    </w:p>
    <w:p>
      <w:pPr>
        <w:pStyle w:val="BodyText"/>
      </w:pPr>
      <w:r>
        <w:br/>
      </w:r>
    </w:p>
    <w:bookmarkEnd w:id="25"/>
    <w:bookmarkStart w:id="26" w:name="appendix"/>
    <w:p>
      <w:pPr>
        <w:pStyle w:val="Heading4"/>
      </w:pPr>
      <w:r>
        <w:t xml:space="preserve">Appendix: Key Stakeholders in</w:t>
      </w:r>
      <w:r>
        <w:t xml:space="preserve"> </w:t>
      </w:r>
      <w:r>
        <w:rPr>
          <w:bCs/>
          <w:b/>
        </w:rPr>
        <w:t xml:space="preserve">Iraq Baghdad</w:t>
      </w:r>
    </w:p>
    <w:p>
      <w:pPr>
        <w:pStyle w:val="FirstParagraph"/>
      </w:pPr>
      <w:r>
        <w:t xml:space="preserve">Central Bank of Iraq (CBI) Oversight Committee</w:t>
      </w:r>
    </w:p>
    <w:p>
      <w:pPr>
        <w:pStyle w:val="BodyText"/>
      </w:pPr>
      <w:r>
        <w:t xml:space="preserve">Dhi Qar Bank Group,</w:t>
      </w:r>
    </w:p>
    <w:p>
      <w:pPr>
        <w:pStyle w:val="BodyText"/>
      </w:pPr>
      <w:r>
        <w:t xml:space="preserve">Iraq Baghdad HQ</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Initiative in Iraq Baghdad</dc:title>
  <dc:creator/>
  <dc:language>en</dc:language>
  <cp:keywords/>
  <dcterms:created xsi:type="dcterms:W3CDTF">2026-07-30T12:34:53Z</dcterms:created>
  <dcterms:modified xsi:type="dcterms:W3CDTF">2026-07-30T12:34:53Z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