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Banking</w:t>
      </w:r>
      <w:r>
        <w:t xml:space="preserve"> </w:t>
      </w:r>
      <w:r>
        <w:t xml:space="preserve">Infrastructure</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Israel</w:t>
      </w:r>
      <w:r>
        <w:t xml:space="preserve"> </w:t>
      </w:r>
      <w:r>
        <w:t xml:space="preserve">Jerusalem</w:t>
      </w:r>
    </w:p>
    <w:bookmarkStart w:id="29" w:name="Xcfa61ec5739ad21d6a17fdeb98788fb7c907bc7"/>
    <w:p>
      <w:pPr>
        <w:pStyle w:val="Heading1"/>
      </w:pPr>
      <w:r>
        <w:t xml:space="preserve">Project Report: Strategic Banking Integration and Service Modernization in Israel Jerusalem</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Stakeholders and Board of Directors</w:t>
      </w:r>
      <w:r>
        <w:br/>
      </w:r>
      <w:r>
        <w:rPr>
          <w:bCs/>
          <w:b/>
        </w:rPr>
        <w:t xml:space="preserve">From:</w:t>
      </w:r>
      <w:r>
        <w:t xml:space="preserve"> </w:t>
      </w:r>
      <w:r>
        <w:t xml:space="preserve">Project Management Office</w:t>
      </w:r>
      <w:r>
        <w:br/>
      </w:r>
    </w:p>
    <w:p>
      <w:pPr>
        <w:pStyle w:val="BodyText"/>
      </w:pPr>
      <w:r>
        <w:t xml:space="preserve">Subject:</w:t>
      </w:r>
      <w:r>
        <w:t xml:space="preserve"> </w:t>
      </w:r>
      <w:r>
        <w:t xml:space="preserve">Comprehensive Analysis of the Modern Banker Framework in Israel Jerusalem</w:t>
      </w:r>
      <w:r>
        <w:br/>
      </w:r>
      <w:r>
        <w:br/>
      </w:r>
      <w:r>
        <w:t xml:space="preserve">This project report outlines the strategic initiative to modernize banking operations, enhance regulatory compliance, and improve customer experience within the specific geographical and economic context of</w:t>
      </w:r>
      <w:r>
        <w:t xml:space="preserve"> </w:t>
      </w:r>
      <w:r>
        <w:rPr>
          <w:bCs/>
          <w:b/>
        </w:rPr>
        <w:t xml:space="preserve">Israel Jerusalem</w:t>
      </w:r>
      <w:r>
        <w:t xml:space="preserve">. The document details how a contemporary</w:t>
      </w:r>
      <w:r>
        <w:t xml:space="preserve"> </w:t>
      </w:r>
      <w:r>
        <w:rPr>
          <w:bCs/>
          <w:b/>
        </w:rPr>
        <w:t xml:space="preserve">Banker</w:t>
      </w:r>
      <w:r>
        <w:t xml:space="preserve"> </w:t>
      </w:r>
      <w:r>
        <w:t xml:space="preserve">persona must adapt to local cultural nuances while adhering to strict international financial standards.</w:t>
      </w:r>
    </w:p>
    <w:bookmarkStart w:id="20" w:name="introduction-and-contextual-overview"/>
    <w:p>
      <w:pPr>
        <w:pStyle w:val="Heading2"/>
      </w:pPr>
      <w:r>
        <w:t xml:space="preserve">1. Introduction and Contextual Overview</w:t>
      </w:r>
    </w:p>
    <w:p>
      <w:pPr>
        <w:pStyle w:val="FirstParagraph"/>
      </w:pPr>
      <w:r>
        <w:t xml:space="preserve">The financial landscape of the State of Israel is characterized by high technological innovation, stringent regulatory oversight, and a unique socio-economic structure. Within this national framework, the city of</w:t>
      </w:r>
      <w:r>
        <w:t xml:space="preserve"> </w:t>
      </w:r>
      <w:r>
        <w:rPr>
          <w:bCs/>
          <w:b/>
        </w:rPr>
        <w:t xml:space="preserve">Israel Jerusalem</w:t>
      </w:r>
    </w:p>
    <w:p>
      <w:pPr>
        <w:pStyle w:val="BodyText"/>
      </w:pPr>
      <w:r>
        <w:t xml:space="preserve">stands as a critical hub for both traditional commerce and emerging fintech enterprises. As such, any banking project executed within this municipality must account for its distinct demographic composition, which includes a significant secular population alongside substantial religious communities.</w:t>
      </w:r>
    </w:p>
    <w:p>
      <w:pPr>
        <w:pStyle w:val="BodyText"/>
      </w:pPr>
      <w:r>
        <w:t xml:space="preserve">This report focuses on the role of the professional</w:t>
      </w:r>
      <w:r>
        <w:t xml:space="preserve"> </w:t>
      </w:r>
      <w:r>
        <w:rPr>
          <w:bCs/>
          <w:b/>
        </w:rPr>
        <w:t xml:space="preserve">Banker</w:t>
      </w:r>
      <w:r>
        <w:t xml:space="preserve">. In the modern era, a banker is no longer merely an administrator of funds but serves as a strategic advisor, a compliance officer, and a community integrator. The objective of this project is to define operational guidelines that allow bankers operating in</w:t>
      </w:r>
    </w:p>
    <w:p>
      <w:pPr>
        <w:pStyle w:val="BodyText"/>
      </w:pPr>
      <w:r>
        <w:t xml:space="preserve">Israel Jerusalem</w:t>
      </w:r>
    </w:p>
    <w:p>
      <w:pPr>
        <w:pStyle w:val="BodyText"/>
      </w:pPr>
      <w:r>
        <w:t xml:space="preserve">to deliver superior service while maintaining absolute integrity and regulatory adherence.</w:t>
      </w:r>
    </w:p>
    <w:bookmarkEnd w:id="20"/>
    <w:bookmarkStart w:id="21" w:name="Xd7cab638469fcf893d36fd9ee28a461a32a441e"/>
    <w:p>
      <w:pPr>
        <w:pStyle w:val="Heading2"/>
      </w:pPr>
      <w:r>
        <w:t xml:space="preserve">2. Regulatory Environment and Compliance Standards</w:t>
      </w:r>
    </w:p>
    <w:p>
      <w:pPr>
        <w:pStyle w:val="FirstParagraph"/>
      </w:pPr>
      <w:r>
        <w:t xml:space="preserve">The primary challenge for any financial institution in this region is navigating the complex regulatory framework established by the Bank of Israel. For a</w:t>
      </w:r>
      <w:r>
        <w:t xml:space="preserve"> </w:t>
      </w:r>
      <w:r>
        <w:rPr>
          <w:bCs/>
          <w:b/>
        </w:rPr>
        <w:t xml:space="preserve">Banker</w:t>
      </w:r>
    </w:p>
    <w:p>
      <w:pPr>
        <w:pStyle w:val="BodyText"/>
      </w:pPr>
      <w:r>
        <w:t xml:space="preserve">working in</w:t>
      </w:r>
    </w:p>
    <w:p>
      <w:pPr>
        <w:pStyle w:val="BodyText"/>
      </w:pPr>
      <w:r>
        <w:t xml:space="preserve">Israel Jerusalem</w:t>
      </w:r>
    </w:p>
    <w:p>
      <w:pPr>
        <w:pStyle w:val="BodyText"/>
      </w:pPr>
      <w:r>
        <w:t xml:space="preserve">, strict adherence to Anti-Money Laundering (AML) and Counter-Terrorist Financing (CTF) laws is non-negotiable. The city’s status as a global center for religious tourism and international diplomacy introduces unique risks regarding cross-border transactions.</w:t>
      </w:r>
    </w:p>
    <w:p>
      <w:pPr>
        <w:pStyle w:val="BodyText"/>
      </w:pPr>
      <w:r>
        <w:t xml:space="preserve">Therefore, the</w:t>
      </w:r>
      <w:r>
        <w:t xml:space="preserve"> </w:t>
      </w:r>
      <w:r>
        <w:rPr>
          <w:bCs/>
          <w:b/>
        </w:rPr>
        <w:t xml:space="preserve">Banker</w:t>
      </w:r>
    </w:p>
    <w:p>
      <w:pPr>
        <w:pStyle w:val="BodyText"/>
      </w:pPr>
      <w:r>
        <w:t xml:space="preserve">must implement robust Know Your Customer (KYC) protocols that are sensitive to the local context. This involves verifying identities not just through standard documentation but understanding the nuances of residency status in a city with diverse legal statuses. The project report emphasizes that digital transformation in banking tools must never compromise these security layers. Advanced biometric verification and blockchain-based audit trails are recommended to ensure transparency for transactions originating from or directed toward</w:t>
      </w:r>
    </w:p>
    <w:p>
      <w:pPr>
        <w:pStyle w:val="BodyText"/>
      </w:pPr>
      <w:r>
        <w:t xml:space="preserve">Israel Jerusalem</w:t>
      </w:r>
    </w:p>
    <w:p>
      <w:pPr>
        <w:pStyle w:val="BodyText"/>
      </w:pPr>
      <w:r>
        <w:t xml:space="preserve">.</w:t>
      </w:r>
    </w:p>
    <w:bookmarkEnd w:id="21"/>
    <w:bookmarkStart w:id="24" w:name="Xc8bef32b62a4b518f9c3f4d295902500804d7d2"/>
    <w:p>
      <w:pPr>
        <w:pStyle w:val="Heading2"/>
      </w:pPr>
      <w:r>
        <w:t xml:space="preserve">3. Cultural Sensitivity and Operational Adaptation</w:t>
      </w:r>
    </w:p>
    <w:p>
      <w:pPr>
        <w:pStyle w:val="FirstParagraph"/>
      </w:pPr>
      <w:r>
        <w:t xml:space="preserve">A critical component of this project is the cultural competency required by the modern</w:t>
      </w:r>
      <w:r>
        <w:t xml:space="preserve"> </w:t>
      </w:r>
      <w:r>
        <w:rPr>
          <w:bCs/>
          <w:b/>
        </w:rPr>
        <w:t xml:space="preserve">Banker</w:t>
      </w:r>
    </w:p>
    <w:p>
      <w:pPr>
        <w:pStyle w:val="BodyText"/>
      </w:pPr>
      <w:r>
        <w:t xml:space="preserve">in Jerusalem. The city is a melting pot where secular, religious, and ultra-Orthodox (Haredi) communities coexist with distinct financial behaviors and schedules.</w:t>
      </w:r>
    </w:p>
    <w:bookmarkStart w:id="22" w:name="sabbath-observance"/>
    <w:p>
      <w:pPr>
        <w:pStyle w:val="Heading3"/>
      </w:pPr>
      <w:r>
        <w:t xml:space="preserve">3.1 Sabbath Observance</w:t>
      </w:r>
    </w:p>
    <w:p>
      <w:pPr>
        <w:pStyle w:val="FirstParagraph"/>
      </w:pPr>
      <w:r>
        <w:t xml:space="preserve">In many parts of Jerusalem, particularly within Haredi neighborhoods such as Mea Shearim or Har Nof, business activities cease from Friday evening to Saturday evening. A traditional banking model with rigid operating hours is insufficient here. The project proposes that the</w:t>
      </w:r>
      <w:r>
        <w:t xml:space="preserve"> </w:t>
      </w:r>
      <w:r>
        <w:rPr>
          <w:bCs/>
          <w:b/>
        </w:rPr>
        <w:t xml:space="preserve">Banker</w:t>
      </w:r>
    </w:p>
    <w:p>
      <w:pPr>
        <w:pStyle w:val="BodyText"/>
      </w:pPr>
      <w:r>
        <w:t xml:space="preserve">utilize automated digital channels for routine transactions during these periods while ensuring that human advisors are available during peak secular hours to handle complex inquiries.</w:t>
      </w:r>
    </w:p>
    <w:bookmarkEnd w:id="22"/>
    <w:bookmarkStart w:id="23" w:name="language-and-communication"/>
    <w:p>
      <w:pPr>
        <w:pStyle w:val="Heading3"/>
      </w:pPr>
      <w:r>
        <w:t xml:space="preserve">3.2 Language and Communication</w:t>
      </w:r>
    </w:p>
    <w:p>
      <w:pPr>
        <w:pStyle w:val="FirstParagraph"/>
      </w:pPr>
      <w:r>
        <w:t xml:space="preserve">Multilingual capabilities are essential. While Hebrew is the primary language, English serves as the lingua franca for international business, and Arabic is crucial for engaging with Arab-Israeli residents in East Jerusalem. The modern</w:t>
      </w:r>
      <w:r>
        <w:t xml:space="preserve"> </w:t>
      </w:r>
      <w:r>
        <w:rPr>
          <w:bCs/>
          <w:b/>
        </w:rPr>
        <w:t xml:space="preserve">Banker</w:t>
      </w:r>
    </w:p>
    <w:p>
      <w:pPr>
        <w:pStyle w:val="BodyText"/>
      </w:pPr>
      <w:r>
        <w:t xml:space="preserve">must be trained to communicate effectively across these linguistic barriers to ensure equitable service delivery throughout</w:t>
      </w:r>
    </w:p>
    <w:p>
      <w:pPr>
        <w:pStyle w:val="BodyText"/>
      </w:pPr>
      <w:r>
        <w:t xml:space="preserve">Israel Jerusalem</w:t>
      </w:r>
    </w:p>
    <w:p>
      <w:pPr>
        <w:pStyle w:val="BodyText"/>
      </w:pPr>
      <w:r>
        <w:t xml:space="preserve">.</w:t>
      </w:r>
    </w:p>
    <w:bookmarkEnd w:id="23"/>
    <w:bookmarkEnd w:id="24"/>
    <w:bookmarkStart w:id="25" w:name="Xa3091fffb07ed76257f3444f9f293d9d8a5d34d"/>
    <w:p>
      <w:pPr>
        <w:pStyle w:val="Heading2"/>
      </w:pPr>
      <w:r>
        <w:t xml:space="preserve">4. Technological Integration and Fintech Synergy</w:t>
      </w:r>
    </w:p>
    <w:p>
      <w:pPr>
        <w:pStyle w:val="FirstParagraph"/>
      </w:pPr>
      <w:r>
        <w:t xml:space="preserve">Tel Aviv is often cited as the "Startup Nation" capital, but Jerusalem has rapidly become a significant R&amp;D hub for cybersecurity and financial technology. The project report highlights that the</w:t>
      </w:r>
      <w:r>
        <w:t xml:space="preserve"> </w:t>
      </w:r>
      <w:r>
        <w:rPr>
          <w:bCs/>
          <w:b/>
        </w:rPr>
        <w:t xml:space="preserve">Banker</w:t>
      </w:r>
    </w:p>
    <w:p>
      <w:pPr>
        <w:pStyle w:val="BodyText"/>
      </w:pPr>
      <w:r>
        <w:t xml:space="preserve">must leverage these local innovations. Implementing AI-driven financial planning tools can help clients in Jerusalem navigate high housing costs and complex tax structures.</w:t>
      </w:r>
    </w:p>
    <w:p>
      <w:pPr>
        <w:pStyle w:val="BodyText"/>
      </w:pPr>
      <w:r>
        <w:t xml:space="preserve">Furthermore, integration with government digital services (such as "Gov.il") is vital for streamlining processes like loan applications for homeownership or small business grants. By automating data verification through secure APIs, the</w:t>
      </w:r>
      <w:r>
        <w:t xml:space="preserve"> </w:t>
      </w:r>
      <w:r>
        <w:rPr>
          <w:bCs/>
          <w:b/>
        </w:rPr>
        <w:t xml:space="preserve">Banker</w:t>
      </w:r>
    </w:p>
    <w:p>
      <w:pPr>
        <w:pStyle w:val="BodyText"/>
      </w:pPr>
      <w:r>
        <w:t xml:space="preserve">can reduce administrative overhead and provide faster service to residents of</w:t>
      </w:r>
    </w:p>
    <w:p>
      <w:pPr>
        <w:pStyle w:val="BodyText"/>
      </w:pPr>
      <w:r>
        <w:t xml:space="preserve">Israel Jerusalem</w:t>
      </w:r>
    </w:p>
    <w:p>
      <w:pPr>
        <w:pStyle w:val="BodyText"/>
      </w:pPr>
      <w:r>
        <w:t xml:space="preserve">.</w:t>
      </w:r>
    </w:p>
    <w:bookmarkEnd w:id="25"/>
    <w:bookmarkStart w:id="26" w:name="X80694ae9d0d29b3959b15e521254429ee30f921"/>
    <w:p>
      <w:pPr>
        <w:pStyle w:val="Heading2"/>
      </w:pPr>
      <w:r>
        <w:t xml:space="preserve">5. Community Engagement and Social Responsibility</w:t>
      </w:r>
    </w:p>
    <w:p>
      <w:pPr>
        <w:pStyle w:val="FirstParagraph"/>
      </w:pPr>
      <w:r>
        <w:t xml:space="preserve">Banks are integral parts of the communities they serve. In the context of this project, we emphasize Corporate Social Responsibility (CSR) initiatives led by local branches in Jerusalem. The role of the</w:t>
      </w:r>
      <w:r>
        <w:t xml:space="preserve"> </w:t>
      </w:r>
      <w:r>
        <w:rPr>
          <w:bCs/>
          <w:b/>
        </w:rPr>
        <w:t xml:space="preserve">Banker</w:t>
      </w:r>
    </w:p>
    <w:p>
      <w:pPr>
        <w:pStyle w:val="BodyText"/>
      </w:pPr>
      <w:r>
        <w:t xml:space="preserve">extends beyond profit generation to include financial literacy programs for at-risk populations.</w:t>
      </w:r>
    </w:p>
    <w:p>
      <w:pPr>
        <w:pStyle w:val="BodyText"/>
      </w:pPr>
      <w:r>
        <w:t xml:space="preserve">We propose establishing workshops in collaboration with local municipal bodies to educate residents on debt management, investment strategies, and digital security. This community-centric approach builds trust and strengthens the bank’s brand presence in</w:t>
      </w:r>
    </w:p>
    <w:p>
      <w:pPr>
        <w:pStyle w:val="BodyText"/>
      </w:pPr>
      <w:r>
        <w:t xml:space="preserve">Israel Jerusalem</w:t>
      </w:r>
    </w:p>
    <w:p>
      <w:pPr>
        <w:pStyle w:val="BodyText"/>
      </w:pPr>
      <w:r>
        <w:t xml:space="preserve">. By positioning the banker as a mentor rather than just a service provider, we foster long-term client relationships that are resilient to economic fluctuations.</w:t>
      </w:r>
    </w:p>
    <w:bookmarkEnd w:id="26"/>
    <w:bookmarkStart w:id="27" w:name="risk-management-and-cybersecurity"/>
    <w:p>
      <w:pPr>
        <w:pStyle w:val="Heading2"/>
      </w:pPr>
      <w:r>
        <w:t xml:space="preserve">6. Risk Management and Cybersecurity</w:t>
      </w:r>
    </w:p>
    <w:p>
      <w:pPr>
        <w:pStyle w:val="FirstParagraph"/>
      </w:pPr>
      <w:r>
        <w:t xml:space="preserve">Given the geopolitical realities facing Israel, cybersecurity is paramount. The financial infrastructure in Jerusalem is a high-value target for cyber threats. The project report mandates the implementation of zero-trust architecture for all banking systems employed by the institution.</w:t>
      </w:r>
    </w:p>
    <w:p>
      <w:pPr>
        <w:pStyle w:val="BodyText"/>
      </w:pPr>
      <w:r>
        <w:t xml:space="preserve">The</w:t>
      </w:r>
      <w:r>
        <w:t xml:space="preserve"> </w:t>
      </w:r>
      <w:r>
        <w:rPr>
          <w:bCs/>
          <w:b/>
        </w:rPr>
        <w:t xml:space="preserve">Banker</w:t>
      </w:r>
    </w:p>
    <w:p>
      <w:pPr>
        <w:pStyle w:val="BodyText"/>
      </w:pPr>
      <w:r>
        <w:t xml:space="preserve">must undergo regular training on social engineering attacks and phishing attempts, which are increasingly sophisticated. Moreover, business continuity plans must be updated to ensure that banking services remain operational during periods of civil unrest or emergency scenarios, ensuring stability for the citizens of</w:t>
      </w:r>
    </w:p>
    <w:p>
      <w:pPr>
        <w:pStyle w:val="BodyText"/>
      </w:pPr>
      <w:r>
        <w:t xml:space="preserve">Israel Jerusalem</w:t>
      </w:r>
    </w:p>
    <w:p>
      <w:pPr>
        <w:pStyle w:val="BodyText"/>
      </w:pPr>
      <w:r>
        <w:t xml:space="preserve">.</w:t>
      </w:r>
    </w:p>
    <w:bookmarkEnd w:id="27"/>
    <w:bookmarkStart w:id="28" w:name="conclusion-and-strategic-recommendations"/>
    <w:p>
      <w:pPr>
        <w:pStyle w:val="Heading2"/>
      </w:pPr>
      <w:r>
        <w:t xml:space="preserve">7. Conclusion and Strategic Recommendations</w:t>
      </w:r>
    </w:p>
    <w:p>
      <w:pPr>
        <w:pStyle w:val="FirstParagraph"/>
      </w:pPr>
      <w:r>
        <w:t xml:space="preserve">In conclusion, this project report demonstrates that success in the banking sector within this region requires a nuanced approach that balances global financial standards with local realities. The modern</w:t>
      </w:r>
      <w:r>
        <w:t xml:space="preserve"> </w:t>
      </w:r>
      <w:r>
        <w:rPr>
          <w:bCs/>
          <w:b/>
        </w:rPr>
        <w:t xml:space="preserve">Banker</w:t>
      </w:r>
    </w:p>
    <w:p>
      <w:pPr>
        <w:pStyle w:val="BodyText"/>
      </w:pPr>
      <w:r>
        <w:t xml:space="preserve">is a multifaceted professional who must embody technical expertise, regulatory vigilance, and deep cultural empathy.</w:t>
      </w:r>
    </w:p>
    <w:p>
      <w:pPr>
        <w:pStyle w:val="BodyText"/>
      </w:pPr>
      <w:r>
        <w:t xml:space="preserve">The implementation of the proposed strategies—ranging from Sabbath-aware service models to advanced cyber defenses—will position our financial institution as a leader in</w:t>
      </w:r>
    </w:p>
    <w:p>
      <w:pPr>
        <w:pStyle w:val="BodyText"/>
      </w:pPr>
      <w:r>
        <w:t xml:space="preserve">Israel Jerusalem</w:t>
      </w:r>
    </w:p>
    <w:p>
      <w:pPr>
        <w:pStyle w:val="BodyText"/>
      </w:pPr>
      <w:r>
        <w:t xml:space="preserve">. By prioritizing these initiatives, we ensure sustainable growth, regulatory compliance, and genuine community value. The synergy between innovative banking practices and the unique characteristics of Jerusalem creates an unparalleled opportunity for service excellence.</w:t>
      </w:r>
    </w:p>
    <w:p>
      <w:pPr>
        <w:pStyle w:val="BodyText"/>
      </w:pPr>
      <w:r>
        <w:t xml:space="preserve">We recommend immediate approval of the budget for Phase 1 training modules for all staff operating in this region and the commencement of pilot programs with selected fintech partners located within the city limits. The future of banking in</w:t>
      </w:r>
    </w:p>
    <w:p>
      <w:pPr>
        <w:pStyle w:val="BodyText"/>
      </w:pPr>
      <w:r>
        <w:t xml:space="preserve">Israel Jerusalem</w:t>
      </w:r>
    </w:p>
    <w:p>
      <w:pPr>
        <w:pStyle w:val="BodyText"/>
      </w:pPr>
      <w:r>
        <w:t xml:space="preserve">depends on our ability to adapt, innovate, and serve with integrity.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Banking Infrastructure and Regulatory Compliance in Israel Jerusalem</dc:title>
  <dc:creator/>
  <dc:language>en</dc:language>
  <cp:keywords/>
  <dcterms:created xsi:type="dcterms:W3CDTF">2026-07-29T13:59:16Z</dcterms:created>
  <dcterms:modified xsi:type="dcterms:W3CDTF">2026-07-29T13:59:16Z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