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Banking</w:t>
      </w:r>
      <w:r>
        <w:t xml:space="preserve"> </w:t>
      </w:r>
      <w:r>
        <w:t xml:space="preserve">Solutions</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8" w:name="Xe7082262931ac80cea738b7aee646e4b1ac6334"/>
    <w:p>
      <w:pPr>
        <w:pStyle w:val="Heading1"/>
      </w:pPr>
      <w:r>
        <w:t xml:space="preserve">Project Report: Strategic Banking Integration in Kuwait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Directors, Global Finance Corp.</w:t>
      </w:r>
      <w:r>
        <w:br/>
      </w:r>
      <w:r>
        <w:t xml:space="preserve">: Strategic Planning Division</w:t>
      </w:r>
      <w:r>
        <w:br/>
      </w:r>
      <w:r>
        <w:t xml:space="preserve">: Implementation of Advanced Banking Services in Kuwait Kuwait City</w:t>
      </w:r>
    </w:p>
    <w:bookmarkStart w:id="20" w:name="executive-summary"/>
    <w:p>
      <w:pPr>
        <w:pStyle w:val="Heading2"/>
      </w:pPr>
      <w:r>
        <w:t xml:space="preserve">1. Executive Summary</w:t>
      </w:r>
    </w:p>
    <w:p>
      <w:pPr>
        <w:pStyle w:val="FirstParagraph"/>
      </w:pPr>
      <w:r>
        <w:t xml:space="preserve">This Project Report outlines the comprehensive strategy for establishing and expanding our banking operations within the dynamic financial hub of Kuwait City. As global markets evolve, the importance of localized yet internationally aligned banking services cannot be overstated. The primary objective of this initiative is to leverage our expertise as a leading Banker to deliver superior financial solutions tailored specifically to the unique economic landscape of Kuwait City. This document details market analysis, regulatory compliance requirements, technological integration plans, and community engagement strategies designed to position our Banker entity as a trusted partner for individuals and corporations alike in this thriving region.</w:t>
      </w:r>
    </w:p>
    <w:bookmarkEnd w:id="20"/>
    <w:bookmarkStart w:id="21" w:name="X07c42cf5dcfdbf9a550b1770736a2078176cd83"/>
    <w:p>
      <w:pPr>
        <w:pStyle w:val="Heading2"/>
      </w:pPr>
      <w:r>
        <w:t xml:space="preserve">2. Market Overview: The Economic Landscape of Kuwait City</w:t>
      </w:r>
    </w:p>
    <w:p>
      <w:pPr>
        <w:pStyle w:val="FirstParagraph"/>
      </w:pPr>
      <w:r>
        <w:t xml:space="preserve">Kuwait City stands as the economic heart of the nation, characterized by a robust oil sector complemented by a rapidly diversifying financial services industry. The city is home to the Kuwait Bourse and serves as a gateway for investment into the broader Gulf Cooperation Council (GCC) region. For our Banker initiative, understanding this local context is paramount.</w:t>
      </w:r>
    </w:p>
    <w:p>
      <w:pPr>
        <w:pStyle w:val="BodyText"/>
      </w:pPr>
      <w:r>
        <w:t xml:space="preserve">The demographic profile of Kuwait City includes a significant population of high-net-worth individuals (HNWIs), expatriate professionals, and growing small-to-medium enterprises (SMEs). There is an increasing demand for digital banking solutions that adhere to international security standards while respecting local cultural norms. Furthermore, the government’s "Kuwait Vision 2035" emphasizes economic diversification and financial sector development, creating a fertile ground for innovative banking projects. Our strategy aligns directly with these national goals, aiming to support sustainable growth through responsible financial practices.</w:t>
      </w:r>
    </w:p>
    <w:bookmarkEnd w:id="21"/>
    <w:bookmarkStart w:id="22" w:name="Xd83e894f5331c56e7433237156b23f1940f8116"/>
    <w:p>
      <w:pPr>
        <w:pStyle w:val="Heading2"/>
      </w:pPr>
      <w:r>
        <w:t xml:space="preserve">3. Strategic Objectives for the Banker Initiative</w:t>
      </w:r>
    </w:p>
    <w:p>
      <w:pPr>
        <w:pStyle w:val="FirstParagraph"/>
      </w:pPr>
      <w:r>
        <w:t xml:space="preserve">To ensure success in Kuwait City, our Banker operations will focus on three core pillars:</w:t>
      </w:r>
    </w:p>
    <w:p>
      <w:pPr>
        <w:numPr>
          <w:ilvl w:val="0"/>
          <w:numId w:val="1001"/>
        </w:numPr>
        <w:pStyle w:val="Compact"/>
      </w:pPr>
      <w:r>
        <w:rPr>
          <w:bCs/>
          <w:b/>
        </w:rPr>
        <w:t xml:space="preserve">Digital Transformation:</w:t>
      </w:r>
    </w:p>
    <w:p>
      <w:pPr>
        <w:numPr>
          <w:ilvl w:val="0"/>
          <w:numId w:val="1001"/>
        </w:numPr>
        <w:pStyle w:val="Compact"/>
      </w:pPr>
      <w:r>
        <w:rPr>
          <w:bCs/>
          <w:b/>
        </w:rPr>
        <w:t xml:space="preserve">Sustainable Finance:</w:t>
      </w:r>
    </w:p>
    <w:p>
      <w:pPr>
        <w:numPr>
          <w:ilvl w:val="0"/>
          <w:numId w:val="1001"/>
        </w:numPr>
        <w:pStyle w:val="Compact"/>
      </w:pPr>
      <w:r>
        <w:rPr>
          <w:bCs/>
          <w:b/>
        </w:rPr>
        <w:t xml:space="preserve">Cultural Competence:</w:t>
      </w:r>
    </w:p>
    <w:bookmarkEnd w:id="22"/>
    <w:bookmarkStart w:id="23" w:name="X4bc4b1c7ef29040b8a00b7c589cb9a284653636"/>
    <w:p>
      <w:pPr>
        <w:pStyle w:val="Heading2"/>
      </w:pPr>
      <w:r>
        <w:t xml:space="preserve">4. Regulatory Compliance and Legal Framework</w:t>
      </w:r>
    </w:p>
    <w:p>
      <w:pPr>
        <w:pStyle w:val="FirstParagraph"/>
      </w:pPr>
      <w:r>
        <w:t xml:space="preserve">Navigating the regulatory environment in Kuwait is a crucial component of this Project Report. The Central Bank of Kuwait (CBK) maintains strict guidelines regarding capital adequacy, anti-money laundering (AML), and know-your-customer (KYC) procedures. Our Banker entity must strictly adhere to these regulations to maintain operational licenses and public trust.</w:t>
      </w:r>
    </w:p>
    <w:p>
      <w:pPr>
        <w:pStyle w:val="BodyText"/>
      </w:pPr>
      <w:r>
        <w:t xml:space="preserve">We have established a dedicated compliance team based in Kuwait City to monitor regulatory changes continuously. This team works closely with local legal experts to ensure that all banking activities comply with both national laws and international standards set by bodies such as the Financial Action Task Force (FATF). Furthermore, we are implementing advanced transaction monitoring systems designed to detect suspicious activities promptly, thereby safeguarding the integrity of the Kuwait City financial system.</w:t>
      </w:r>
    </w:p>
    <w:bookmarkEnd w:id="23"/>
    <w:bookmarkStart w:id="24" w:name="X1d16d7dd994a5704fd479de53aac299cb64b586"/>
    <w:p>
      <w:pPr>
        <w:pStyle w:val="Heading2"/>
      </w:pPr>
      <w:r>
        <w:t xml:space="preserve">5. Technology Infrastructure and Cybersecurity</w:t>
      </w:r>
    </w:p>
    <w:p>
      <w:pPr>
        <w:pStyle w:val="FirstParagraph"/>
      </w:pPr>
      <w:r>
        <w:t xml:space="preserve">In an era where digital threats are prevalent, our Banker infrastructure must be fortified against cyberattacks. We propose the construction of a hybrid cloud-based architecture for our operations in Kuwait City. This approach ensures scalability, reliability, and data redundancy.</w:t>
      </w:r>
    </w:p>
    <w:p>
      <w:pPr>
        <w:pStyle w:val="BodyText"/>
      </w:pPr>
      <w:r>
        <w:t xml:space="preserve">Key technological implementations include:</w:t>
      </w:r>
    </w:p>
    <w:p>
      <w:pPr>
        <w:numPr>
          <w:ilvl w:val="0"/>
          <w:numId w:val="1002"/>
        </w:numPr>
        <w:pStyle w:val="Compact"/>
      </w:pPr>
      <w:r>
        <w:t xml:space="preserve">A biometric authentication system will be deployed for all mobile and online banking access, providing an additional layer of security for customers in Kuwait City.</w:t>
      </w:r>
    </w:p>
    <w:p>
      <w:pPr>
        <w:numPr>
          <w:ilvl w:val="0"/>
          <w:numId w:val="1002"/>
        </w:numPr>
        <w:pStyle w:val="Compact"/>
      </w:pPr>
      <w:r>
        <w:rPr>
          <w:bCs/>
          <w:b/>
        </w:rPr>
        <w:t xml:space="preserve">Data Localization:</w:t>
      </w:r>
      <w:r>
        <w:t xml:space="preserve">All customer data related to transactions within Kuwait City will be stored on servers located physically within the country to comply with local data sovereignty laws.</w:t>
      </w:r>
    </w:p>
    <w:p>
      <w:pPr>
        <w:numPr>
          <w:ilvl w:val="0"/>
          <w:numId w:val="1002"/>
        </w:numPr>
        <w:pStyle w:val="Compact"/>
      </w:pPr>
      <w:r>
        <w:rPr>
          <w:bCs/>
          <w:b/>
        </w:rPr>
        <w:t xml:space="preserve">AI-Driven Customer Service:</w:t>
      </w:r>
      <w:r>
        <w:t xml:space="preserve">We will integrate artificial intelligence chatbots that can handle routine inquiries in Arabic and English, ensuring 24/7 support for our clients.</w:t>
      </w:r>
    </w:p>
    <w:bookmarkEnd w:id="24"/>
    <w:bookmarkStart w:id="25" w:name="human-resources-and-community-engagement"/>
    <w:p>
      <w:pPr>
        <w:pStyle w:val="Heading2"/>
      </w:pPr>
      <w:r>
        <w:t xml:space="preserve">6. Human Resources and Community Engagement</w:t>
      </w:r>
    </w:p>
    <w:p>
      <w:pPr>
        <w:pStyle w:val="FirstParagraph"/>
      </w:pPr>
      <w:r>
        <w:t xml:space="preserve">The success of our Banker venture relies heavily on human capital. We are committed to hiring a diverse workforce that reflects the multicultural nature of Kuwait City. Training programs will focus not only on technical banking skills but also on cultural sensitivity and customer relationship management.</w:t>
      </w:r>
    </w:p>
    <w:p>
      <w:pPr>
        <w:pStyle w:val="BodyText"/>
      </w:pPr>
      <w:r>
        <w:t xml:space="preserve">Social responsibility is also a key component of our Project Report. Our Banker initiative will launch educational workshops in Kuwait City aimed at improving financial literacy among youth and small business owners. Additionally, we will sponsor local community events and support charitable organizations, reinforcing our commitment to the social fabric of the city.</w:t>
      </w:r>
    </w:p>
    <w:bookmarkEnd w:id="25"/>
    <w:bookmarkStart w:id="26" w:name="risk-management"/>
    <w:p>
      <w:pPr>
        <w:pStyle w:val="Heading2"/>
      </w:pPr>
      <w:r>
        <w:t xml:space="preserve">7. Risk Management</w:t>
      </w:r>
    </w:p>
    <w:p>
      <w:pPr>
        <w:pStyle w:val="FirstParagraph"/>
      </w:pPr>
      <w:r>
        <w:t xml:space="preserve">Risk assessment is integral to this Project Report. The primary risks identified include regulatory shifts, economic volatility related to oil prices, and cybersecurity threats. To mitigate these risks, we have developed a robust risk management framework that includes regular stress testing of our financial models and continuous updates to our cybersecurity protocols.</w:t>
      </w:r>
    </w:p>
    <w:bookmarkEnd w:id="26"/>
    <w:bookmarkStart w:id="27" w:name="conclusion"/>
    <w:p>
      <w:pPr>
        <w:pStyle w:val="Heading2"/>
      </w:pPr>
      <w:r>
        <w:t xml:space="preserve">8. Conclusion</w:t>
      </w:r>
    </w:p>
    <w:p>
      <w:pPr>
        <w:pStyle w:val="FirstParagraph"/>
      </w:pPr>
      <w:r>
        <w:t xml:space="preserve">In conclusion, this Project Report demonstrates that the expansion of our Banker services in Kuwait City is not only viable but strategically essential. By aligning with the economic visions of the nation, adhering to strict regulatory standards, and leveraging advanced technology, we are poised to become a leading financial institution in the region. The unique opportunities presented by Kuwait City’s growing economy offer a promising future for our Banker operations. We recommend immediate approval of Phase One funding to commence infrastructure development and hiring processes.</w:t>
      </w:r>
    </w:p>
    <w:p>
      <w:pPr>
        <w:pStyle w:val="BodyText"/>
      </w:pPr>
      <w:r>
        <w:rPr>
          <w:iCs/>
          <w:i/>
        </w:rPr>
        <w:t xml:space="preserve">This Project Report is confidential and intended solely for the use of the recipients. Unauthorized reproduction or distribution is prohibited.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Banking Solutions in Kuwait City</dc:title>
  <dc:creator/>
  <dc:language>en</dc:language>
  <cp:keywords/>
  <dcterms:created xsi:type="dcterms:W3CDTF">2026-07-29T14:06:14Z</dcterms:created>
  <dcterms:modified xsi:type="dcterms:W3CDTF">2026-07-29T14:06:14Z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