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Mexico</w:t>
      </w:r>
      <w:r>
        <w:t xml:space="preserve"> </w:t>
      </w:r>
      <w:r>
        <w:t xml:space="preserve">City</w:t>
      </w:r>
    </w:p>
    <w:bookmarkStart w:id="32" w:name="X6e404f751fa8f4f0f1186a46298ce7284b67936"/>
    <w:p>
      <w:pPr>
        <w:pStyle w:val="Heading1"/>
      </w:pPr>
      <w:r>
        <w:t xml:space="preserve">Project Report: Strategic Implementation of the Modern Banker Role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Division</w:t>
      </w:r>
      <w:r>
        <w:br/>
      </w:r>
    </w:p>
    <w:p>
      <w:pPr>
        <w:pStyle w:val="BodyText"/>
      </w:pPr>
      <w:r>
        <w:t xml:space="preserve">Subject:</w:t>
      </w:r>
    </w:p>
    <w:p>
      <w:pPr>
        <w:pStyle w:val="BodyText"/>
      </w:pPr>
      <w:r>
        <w:t xml:space="preserve">The Evolving Role of the Banker in the Mexican Capital"</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redefining the role of the Banker within our network, specifically targeting high-density financial hubs. The primary focus of this initiative is Mexico City, a metropolis that serves as the economic engine of Latin America. As digital transformation accelerates globally, the traditional perception of a Banker must evolve into that of a holistic financial advisor and relationship manager. This report details why Mexico City represents the critical frontier for this transformation and how aligning our banking services with local cultural and economic nuances will drive sustainable growth.</w:t>
      </w:r>
    </w:p>
    <w:bookmarkEnd w:id="20"/>
    <w:bookmarkStart w:id="21" w:name="introduction-to-the-project-context"/>
    <w:p>
      <w:pPr>
        <w:pStyle w:val="Heading2"/>
      </w:pPr>
      <w:r>
        <w:t xml:space="preserve">2. Introduction to the Project Context</w:t>
      </w:r>
    </w:p>
    <w:p>
      <w:pPr>
        <w:pStyle w:val="FirstParagraph"/>
      </w:pPr>
      <w:r>
        <w:t xml:space="preserve">The financial landscape is undergoing a paradigm shift. Customers no longer view transactions as mere exchanges of currency but as components of broader life goals, including wealth preservation, business expansion, and family security. In this context, the Banker acts as the crucial interface between complex financial instruments and consumer needs. However, this role cannot be standardized uniformly across all markets due to significant regional variances in regulatory environments, cultural expectations, and economic behaviors.</w:t>
      </w:r>
    </w:p>
    <w:p>
      <w:pPr>
        <w:pStyle w:val="BodyText"/>
      </w:pPr>
      <w:r>
        <w:t xml:space="preserve">Consequently, we have selected Mexico City as our pilot zone for this strategic overhaul. As the capital of Mexico and a global Tier-1 city, it presents a unique confluence of traditional banking values and rapid technological adoption. The objective is to empower our Bankers with localized insights, advanced digital tools, and soft-skills training tailored specifically to the demographics of Mexico City.</w:t>
      </w:r>
    </w:p>
    <w:bookmarkEnd w:id="21"/>
    <w:bookmarkStart w:id="24" w:name="strategic-importance-of-mexico-city"/>
    <w:p>
      <w:pPr>
        <w:pStyle w:val="Heading2"/>
      </w:pPr>
      <w:r>
        <w:t xml:space="preserve">3. Strategic Importance of Mexico City</w:t>
      </w:r>
    </w:p>
    <w:p>
      <w:pPr>
        <w:pStyle w:val="FirstParagraph"/>
      </w:pPr>
      <w:r>
        <w:t xml:space="preserve">Mexico City is not merely a location; it is an economic powerhouse contributing significantly to the national GDP. It hosts the headquarters of major Mexican corporations, multinational subsidiaries, and a vibrant sector of Small and Medium-sized Enterprises (SMEs). For our institution, establishing dominance in this market is synonymous with securing long-term regional profitability.</w:t>
      </w:r>
    </w:p>
    <w:bookmarkStart w:id="22" w:name="economic-dynamics"/>
    <w:p>
      <w:pPr>
        <w:pStyle w:val="Heading3"/>
      </w:pPr>
      <w:r>
        <w:t xml:space="preserve">3.1 Economic Dynamics</w:t>
      </w:r>
    </w:p>
    <w:p>
      <w:pPr>
        <w:pStyle w:val="FirstParagraph"/>
      </w:pPr>
      <w:r>
        <w:t xml:space="preserve">The economy of Mexico City is characterized by its resilience and diversity. It boasts a robust services sector, a growing technology hub known as "Mexico Valley," and extensive manufacturing links to the United States through trade agreements like the USMCA. The Banker operating in this environment must possess specialized knowledge regarding cross-border finance, supply chain financing, and digital asset management.</w:t>
      </w:r>
    </w:p>
    <w:bookmarkEnd w:id="22"/>
    <w:bookmarkStart w:id="23" w:name="demographic-complexity"/>
    <w:p>
      <w:pPr>
        <w:pStyle w:val="Heading3"/>
      </w:pPr>
      <w:r>
        <w:t xml:space="preserve">3.2 Demographic Complexity</w:t>
      </w:r>
    </w:p>
    <w:p>
      <w:pPr>
        <w:pStyle w:val="FirstParagraph"/>
      </w:pPr>
      <w:r>
        <w:t xml:space="preserve">Mexico City is home to over nine million residents within its municipal limits and more than twenty-two million in the greater metropolitan area. This demographic includes ultra-high-net-worth individuals requiring bespoke private banking services, as well as a massive middle class seeking accessible credit and savings solutions. The Banker must be capable of segmenting these clients effectively, offering personalized advice that resonates with their specific socioeconomic status.</w:t>
      </w:r>
    </w:p>
    <w:bookmarkEnd w:id="23"/>
    <w:bookmarkEnd w:id="24"/>
    <w:bookmarkStart w:id="28" w:name="redefining-the-role-of-the-banker"/>
    <w:p>
      <w:pPr>
        <w:pStyle w:val="Heading2"/>
      </w:pPr>
      <w:r>
        <w:t xml:space="preserve">4. Redefining the Role of the Banker</w:t>
      </w:r>
    </w:p>
    <w:p>
      <w:pPr>
        <w:pStyle w:val="FirstParagraph"/>
      </w:pPr>
      <w:r>
        <w:t xml:space="preserve">In response to the complexities of Mexico City, we are redefining the core competencies required for our Bankers. The role is shifting from transactional processing to advisory leadership.</w:t>
      </w:r>
    </w:p>
    <w:bookmarkStart w:id="25" w:name="cultural-competency-and-trust-building"/>
    <w:p>
      <w:pPr>
        <w:pStyle w:val="Heading3"/>
      </w:pPr>
      <w:r>
        <w:t xml:space="preserve">4.1 Cultural Competency and Trust Building</w:t>
      </w:r>
    </w:p>
    <w:p>
      <w:pPr>
        <w:pStyle w:val="FirstParagraph"/>
      </w:pPr>
      <w:r>
        <w:t xml:space="preserve">In Mexican business culture, trust (*confianza*) is paramount. Transactions are often driven by personal relationships rather than purely contractual obligations. Therefore, the Banker must be trained in high-context communication styles. This involves understanding local nuances, respecting hierarchical structures in family-owned businesses, and demonstrating genuine empathy. A Banker who fails to build *confianza* will struggle to retain clients in Mexico City, regardless of competitive interest rates.</w:t>
      </w:r>
    </w:p>
    <w:bookmarkEnd w:id="25"/>
    <w:bookmarkStart w:id="26" w:name="digital-fluency"/>
    <w:p>
      <w:pPr>
        <w:pStyle w:val="Heading3"/>
      </w:pPr>
      <w:r>
        <w:t xml:space="preserve">4.2 Digital Fluency</w:t>
      </w:r>
    </w:p>
    <w:p>
      <w:pPr>
        <w:pStyle w:val="FirstParagraph"/>
      </w:pPr>
      <w:r>
        <w:t xml:space="preserve">Mexico City has one of the highest smartphone penetration rates in Latin America. Clients expect seamless integration between mobile apps and human interaction. The modern Banker must be digitally fluent, able to guide clients through digital onboarding processes while maintaining a personal touch. This hybrid approach ensures that efficiency does not compromise the human connection that defines our brand.</w:t>
      </w:r>
    </w:p>
    <w:bookmarkEnd w:id="26"/>
    <w:bookmarkStart w:id="27" w:name="regulatory-expertise"/>
    <w:p>
      <w:pPr>
        <w:pStyle w:val="Heading3"/>
      </w:pPr>
      <w:r>
        <w:t xml:space="preserve">4.3 Regulatory Expertise</w:t>
      </w:r>
    </w:p>
    <w:p>
      <w:pPr>
        <w:pStyle w:val="FirstParagraph"/>
      </w:pPr>
      <w:r>
        <w:t xml:space="preserve">The banking sector in Mexico is heavily regulated by institutions such as the Bank of Mexico (*Banxico*) and the National Banking and Securities Commission (*CNBV*). The Banker must stay abreast of frequent regulatory changes, particularly concerning anti-money laundering (AML) protocols and Know Your Customer (KYC) requirements. In a city as vast and diverse as Mexico City, compliance is not just a legal requirement but a reputational safeguard.</w:t>
      </w:r>
    </w:p>
    <w:bookmarkEnd w:id="27"/>
    <w:bookmarkEnd w:id="28"/>
    <w:bookmarkStart w:id="29" w:name="implementation-strategy"/>
    <w:p>
      <w:pPr>
        <w:pStyle w:val="Heading2"/>
      </w:pPr>
      <w:r>
        <w:t xml:space="preserve">5. Implementation Strategy</w:t>
      </w:r>
    </w:p>
    <w:p>
      <w:pPr>
        <w:pStyle w:val="FirstParagraph"/>
      </w:pPr>
      <w:r>
        <w:t xml:space="preserve">To successfully deploy this new model in Mexico City, we propose a three-phase implementation strategy.</w:t>
      </w:r>
    </w:p>
    <w:p>
      <w:pPr>
        <w:numPr>
          <w:ilvl w:val="0"/>
          <w:numId w:val="1001"/>
        </w:numPr>
        <w:pStyle w:val="Compact"/>
      </w:pPr>
      <w:r>
        <w:rPr>
          <w:bCs/>
          <w:b/>
        </w:rPr>
        <w:t xml:space="preserve">Phase 1: Talent Acquisition and Localization</w:t>
      </w:r>
      <w:r>
        <w:t xml:space="preserve">: We will recruit Bankers who are native or fluent Spanish speakers with deep roots in the local community. Preference will be given to candidates with prior experience in the Mexican financial sector who understand the idiosyncrasies of local commerce.</w:t>
      </w:r>
    </w:p>
    <w:p>
      <w:pPr>
        <w:numPr>
          <w:ilvl w:val="0"/>
          <w:numId w:val="1001"/>
        </w:numPr>
        <w:pStyle w:val="Compact"/>
      </w:pPr>
      <w:r>
        <w:rPr>
          <w:bCs/>
          <w:b/>
        </w:rPr>
        <w:t xml:space="preserve">Phase 2: Advanced Training Programs</w:t>
      </w:r>
      <w:r>
        <w:t xml:space="preserve">: Our training curriculum will focus on "Soft Skills for High-Touch Banking," emphasizing emotional intelligence, negotiation tactics suited for Latin American business culture, and advanced product knowledge specific to Mexican tax laws and investment vehicles like SOFOMEs (*Sociedades Financieras de Objeto Múltiple*).</w:t>
      </w:r>
    </w:p>
    <w:p>
      <w:pPr>
        <w:numPr>
          <w:ilvl w:val="0"/>
          <w:numId w:val="1001"/>
        </w:numPr>
        <w:pStyle w:val="Compact"/>
      </w:pPr>
      <w:r>
        <w:rPr>
          <w:bCs/>
          <w:b/>
        </w:rPr>
        <w:t xml:space="preserve">Phase 3: Technology Integration</w:t>
      </w:r>
      <w:r>
        <w:t xml:space="preserve">: We will deploy AI-driven customer relationship management (CRM) tools that provide Bankers with real-time insights into client behavior within the Mexico City market. This data will allow Bankers to anticipate needs, such as offering mortgage refinancing during specific economic cycles or investment opportunities aligned with local inflation trends.</w:t>
      </w:r>
    </w:p>
    <w:bookmarkEnd w:id="29"/>
    <w:bookmarkStart w:id="30" w:name="risk-assessment-and-mitigation"/>
    <w:p>
      <w:pPr>
        <w:pStyle w:val="Heading2"/>
      </w:pPr>
      <w:r>
        <w:t xml:space="preserve">6. Risk Assessment and Mitigation</w:t>
      </w:r>
    </w:p>
    <w:p>
      <w:pPr>
        <w:pStyle w:val="FirstParagraph"/>
      </w:pPr>
      <w:r>
        <w:t xml:space="preserve">The primary risks associated with this project include regulatory non-compliance due to rapid changes in Mexican law, and operational friction if staff resist the shift toward digital-advisory roles. To mitigate these, we will establish a dedicated legal liaison team in Mexico City to provide weekly compliance updates. Furthermore, change management workshops will be conducted to demonstrate how technology enhances rather than replaces the Banker's value.</w:t>
      </w:r>
    </w:p>
    <w:bookmarkEnd w:id="30"/>
    <w:bookmarkStart w:id="31" w:name="conclusion"/>
    <w:p>
      <w:pPr>
        <w:pStyle w:val="Heading2"/>
      </w:pPr>
      <w:r>
        <w:t xml:space="preserve">7. Conclusion</w:t>
      </w:r>
    </w:p>
    <w:p>
      <w:pPr>
        <w:pStyle w:val="FirstParagraph"/>
      </w:pPr>
      <w:r>
        <w:t xml:space="preserve">The strategic repositioning of the Banker is essential for maintaining competitive advantage in emerging markets. Mexico City offers a fertile ground for this transformation due to its economic significance, digital readiness, and cultural richness. By investing in a highly trained, culturally attuned, and technologically proficient Banker workforce, our institution will not only capture market share but also foster deep, lasting relationships with clients in the heart of Mexico.</w:t>
      </w:r>
    </w:p>
    <w:p>
      <w:pPr>
        <w:pStyle w:val="BodyText"/>
      </w:pPr>
      <w:r>
        <w:t xml:space="preserve">This Project Report confirms that the alignment of professional banking standards with local Mexican realities is not just an operational adjustment but a critical strategic imperative. We recommend immediate approval for the allocation of resources to initiate Phase 1 of this project in Q1 next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Banker in Mexico City</dc:title>
  <dc:creator/>
  <dc:language>en</dc:language>
  <cp:keywords/>
  <dcterms:created xsi:type="dcterms:W3CDTF">2026-07-29T20:13:36Z</dcterms:created>
  <dcterms:modified xsi:type="dcterms:W3CDTF">2026-07-29T20:13:36Z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