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Next-Generation</w:t>
      </w:r>
      <w:r>
        <w:t xml:space="preserve"> </w:t>
      </w:r>
      <w:r>
        <w:t xml:space="preserve">Banker</w:t>
      </w:r>
      <w:r>
        <w:t xml:space="preserve"> </w:t>
      </w:r>
      <w:r>
        <w:t xml:space="preserve">Initiative</w:t>
      </w:r>
      <w:r>
        <w:t xml:space="preserve"> </w:t>
      </w:r>
      <w:r>
        <w:t xml:space="preserve">in</w:t>
      </w:r>
      <w:r>
        <w:t xml:space="preserve"> </w:t>
      </w:r>
      <w:r>
        <w:t xml:space="preserve">Qatar</w:t>
      </w:r>
      <w:r>
        <w:t xml:space="preserve"> </w:t>
      </w:r>
      <w:r>
        <w:t xml:space="preserve">Doha</w:t>
      </w:r>
    </w:p>
    <w:bookmarkStart w:id="30" w:name="X3108382e68982ffb3de77590fb562dcf0aad09f"/>
    <w:p>
      <w:pPr>
        <w:pStyle w:val="Heading1"/>
      </w:pPr>
      <w:r>
        <w:t xml:space="preserve">Project Report: The Next-Generation Banker Initiative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Strategic Planning Committee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of advanced digital banking solutions within the financial sector of Qatar Doha. As part of the broader national vision to diversify the economy beyond hydrocarbons, this initiative focuses on redefining what it means to be a modern</w:t>
      </w:r>
      <w:r>
        <w:t xml:space="preserve"> </w:t>
      </w:r>
      <w:r>
        <w:rPr>
          <w:bCs/>
          <w:b/>
        </w:rPr>
        <w:t xml:space="preserve">Banker</w:t>
      </w:r>
      <w:r>
        <w:t xml:space="preserve">. The project aims to integrate cutting-edge fintech innovations with traditional banking values, ensuring that institutions operating in Qatar Doha remain competitive, secure, and customer-centric. By leveraging Artificial Intelligence (AI), Blockchain technology, and robust cybersecurity measures, this report outlines a roadmap for transforming the financial landscape of Qatar Doha into a global hub for sustainable and digital finance.</w:t>
      </w:r>
    </w:p>
    <w:bookmarkEnd w:id="20"/>
    <w:bookmarkStart w:id="21" w:name="project-background-and-context"/>
    <w:p>
      <w:pPr>
        <w:pStyle w:val="Heading2"/>
      </w:pPr>
      <w:r>
        <w:t xml:space="preserve">2. Project Background and Context</w:t>
      </w:r>
    </w:p>
    <w:p>
      <w:pPr>
        <w:pStyle w:val="FirstParagraph"/>
      </w:pPr>
      <w:r>
        <w:t xml:space="preserve">The economic landscape of Qatar Doha has undergone significant transformation in recent years, accelerated by the successful hosting of major international events such as the FIFA World Cup 2022. These events catalyzed infrastructure development and increased foreign direct investment, necessitating a corresponding evolution in financial services. The traditional role of the</w:t>
      </w:r>
      <w:r>
        <w:t xml:space="preserve"> </w:t>
      </w:r>
      <w:r>
        <w:rPr>
          <w:bCs/>
          <w:b/>
        </w:rPr>
        <w:t xml:space="preserve">Banker</w:t>
      </w:r>
      <w:r>
        <w:t xml:space="preserve"> </w:t>
      </w:r>
      <w:r>
        <w:t xml:space="preserve">is shifting from transactional processing to advisory and strategic partnership. In Qatar Doha, where high-net-worth individuals and multinational corporations are increasingly concentrated, the demand for personalized, secure, and efficient banking solutions has reached unprecedented levels.</w:t>
      </w:r>
    </w:p>
    <w:p>
      <w:pPr>
        <w:pStyle w:val="BodyText"/>
      </w:pPr>
      <w:r>
        <w:t xml:space="preserve">Furthermore, the Central Bank of Qatar has been proactive in promoting financial inclusion and digitalization. This regulatory environment provides a fertile ground for innovation. However, challenges remain regarding legacy system integration and the need for continuous staff upskilling. This Project Report addresses these gaps by proposing a holistic framework that aligns technological advancement with human capital development specifically tailored to the cultural and economic context of Qatar Doha.</w:t>
      </w:r>
    </w:p>
    <w:bookmarkEnd w:id="21"/>
    <w:bookmarkStart w:id="22" w:name="strategic-objectives"/>
    <w:p>
      <w:pPr>
        <w:pStyle w:val="Heading2"/>
      </w:pPr>
      <w:r>
        <w:t xml:space="preserve">3. Strategic Objectives</w:t>
      </w:r>
    </w:p>
    <w:p>
      <w:pPr>
        <w:pStyle w:val="FirstParagraph"/>
      </w:pPr>
      <w:r>
        <w:t xml:space="preserve">The primary objectives of this project are designed to enhance the operational efficiency and market position of banking institutions in Qatar Doha. The key goals include:</w:t>
      </w:r>
    </w:p>
    <w:p>
      <w:pPr>
        <w:numPr>
          <w:ilvl w:val="0"/>
          <w:numId w:val="1001"/>
        </w:numPr>
        <w:pStyle w:val="Compact"/>
      </w:pPr>
      <w:r>
        <w:rPr>
          <w:bCs/>
          <w:b/>
        </w:rPr>
        <w:t xml:space="preserve">Digital Transformation:</w:t>
      </w:r>
    </w:p>
    <w:p>
      <w:pPr>
        <w:numPr>
          <w:ilvl w:val="0"/>
          <w:numId w:val="1001"/>
        </w:numPr>
        <w:pStyle w:val="Compact"/>
      </w:pPr>
      <w:r>
        <w:rPr>
          <w:bCs/>
          <w:b/>
        </w:rPr>
        <w:t xml:space="preserve">Customer Experience Enhancement:</w:t>
      </w:r>
    </w:p>
    <w:p>
      <w:pPr>
        <w:numPr>
          <w:ilvl w:val="0"/>
          <w:numId w:val="1001"/>
        </w:numPr>
        <w:pStyle w:val="Compact"/>
      </w:pPr>
      <w:r>
        <w:rPr>
          <w:bCs/>
          <w:b/>
        </w:rPr>
        <w:t xml:space="preserve">Sustainability and ESG Compliance:</w:t>
      </w:r>
    </w:p>
    <w:p>
      <w:pPr>
        <w:numPr>
          <w:ilvl w:val="0"/>
          <w:numId w:val="1000"/>
        </w:numPr>
        <w:pStyle w:val="Compact"/>
      </w:pPr>
      <w:r>
        <w:t xml:space="preserve">Aligning banking practices with Qatar National Vision 2030, this initiative emphasizes Environmental, Social, and Governance (ESG) criteria. The modern</w:t>
      </w:r>
      <w:r>
        <w:t xml:space="preserve"> </w:t>
      </w:r>
      <w:r>
        <w:rPr>
          <w:bCs/>
          <w:b/>
        </w:rPr>
        <w:t xml:space="preserve">Banker</w:t>
      </w:r>
      <w:r>
        <w:t xml:space="preserve"> </w:t>
      </w:r>
      <w:r>
        <w:t xml:space="preserve">is expected to guide clients toward sustainable investments, reflecting the global shift towards green finance.</w:t>
      </w:r>
    </w:p>
    <w:p>
      <w:pPr>
        <w:numPr>
          <w:ilvl w:val="0"/>
          <w:numId w:val="1001"/>
        </w:numPr>
        <w:pStyle w:val="Compact"/>
      </w:pPr>
      <w:r>
        <w:rPr>
          <w:bCs/>
          <w:b/>
        </w:rPr>
        <w:t xml:space="preserve">Cybersecurity Resilience:</w:t>
      </w:r>
    </w:p>
    <w:p>
      <w:pPr>
        <w:numPr>
          <w:ilvl w:val="0"/>
          <w:numId w:val="1000"/>
        </w:numPr>
        <w:pStyle w:val="Compact"/>
      </w:pPr>
      <w:r>
        <w:t xml:space="preserve">Given the digital nature of modern banking, securing customer data in Qatar Doha is paramount. The project includes the implementation of advanced encryption protocols and regular cybersecurity audits to protect against emerging threats.</w:t>
      </w:r>
    </w:p>
    <w:bookmarkEnd w:id="22"/>
    <w:bookmarkStart w:id="26" w:name="implementation-strategy"/>
    <w:p>
      <w:pPr>
        <w:pStyle w:val="Heading2"/>
      </w:pPr>
      <w:r>
        <w:t xml:space="preserve">4. Implementation Strategy</w:t>
      </w:r>
    </w:p>
    <w:p>
      <w:pPr>
        <w:pStyle w:val="FirstParagraph"/>
      </w:pPr>
      <w:r>
        <w:t xml:space="preserve">The execution of this project will follow a phased approach, ensuring minimal disruption to existing services in Qatar Doha.</w:t>
      </w:r>
    </w:p>
    <w:bookmarkStart w:id="23" w:name="X7c7bfe06db9d815a403b91239cb47d6fed0a54c"/>
    <w:p>
      <w:pPr>
        <w:pStyle w:val="Heading3"/>
      </w:pPr>
      <w:r>
        <w:t xml:space="preserve">Phase 1: Assessment and Planning (Months 1-3)</w:t>
      </w:r>
    </w:p>
    <w:p>
      <w:pPr>
        <w:pStyle w:val="FirstParagraph"/>
      </w:pPr>
      <w:r>
        <w:t xml:space="preserve">This initial phase involves a comprehensive audit of current IT infrastructure and human resource capabilities. Stakeholders in Qatar Doha will collaborate to identify specific pain points and opportunities for improvement. Training modules for the workforce, redefining the role of the</w:t>
      </w:r>
      <w:r>
        <w:t xml:space="preserve"> </w:t>
      </w:r>
      <w:r>
        <w:rPr>
          <w:bCs/>
          <w:b/>
        </w:rPr>
        <w:t xml:space="preserve">Banker</w:t>
      </w:r>
      <w:r>
        <w:t xml:space="preserve"> </w:t>
      </w:r>
      <w:r>
        <w:t xml:space="preserve">as a tech-savvy advisor, will be developed during this stage.</w:t>
      </w:r>
    </w:p>
    <w:bookmarkEnd w:id="23"/>
    <w:bookmarkStart w:id="24" w:name="Xfb9abedcc27727f09468837b319284dfddbcd1b"/>
    <w:p>
      <w:pPr>
        <w:pStyle w:val="Heading3"/>
      </w:pPr>
      <w:r>
        <w:t xml:space="preserve">Phase 2: Technology Integration (Months 4-9)</w:t>
      </w:r>
    </w:p>
    <w:p>
      <w:pPr>
        <w:pStyle w:val="FirstParagraph"/>
      </w:pPr>
      <w:r>
        <w:t xml:space="preserve">The core banking systems will be upgraded to support API-driven services. Partnerships with local fintech startups in Qatar Doha will be established to co-develop innovative solutions such as mobile-first banking apps and blockchain-based smart contracts. This phase emphasizes interoperability, ensuring that the new systems communicate seamlessly with existing government databases and international payment networks.</w:t>
      </w:r>
    </w:p>
    <w:bookmarkEnd w:id="24"/>
    <w:bookmarkStart w:id="25" w:name="X17967830cb58df08b1eb7d7adcbd16a51ae95ae"/>
    <w:p>
      <w:pPr>
        <w:pStyle w:val="Heading3"/>
      </w:pPr>
      <w:r>
        <w:t xml:space="preserve">Phase 3: Pilot Testing and Rollout (Months 10-12)</w:t>
      </w:r>
    </w:p>
    <w:p>
      <w:pPr>
        <w:pStyle w:val="FirstParagraph"/>
      </w:pPr>
      <w:r>
        <w:t xml:space="preserve">A pilot program will be launched in select branches across Qatar Doha to test the new technologies. Feedback from customers and employees will be collected to refine the user experience. Following successful testing, a full-scale rollout will commence, supported by extensive marketing campaigns designed to educate clients in Qatar Doha about the benefits of digital banking.</w:t>
      </w:r>
    </w:p>
    <w:p>
      <w:pPr>
        <w:pStyle w:val="BodyText"/>
      </w:pPr>
      <w:r>
        <w:rPr>
          <w:bCs/>
          <w:b/>
        </w:rPr>
        <w:t xml:space="preserve">Key Insight:</w:t>
      </w:r>
      <w:r>
        <w:t xml:space="preserve"> </w:t>
      </w:r>
      <w:r>
        <w:t xml:space="preserve">The success of this project hinges on the cultural adaptation of technology. In Qatar Doha, trust and personal relationships are central to business. Therefore, while we embrace digital tools for the</w:t>
      </w:r>
      <w:r>
        <w:t xml:space="preserve"> </w:t>
      </w:r>
      <w:r>
        <w:rPr>
          <w:bCs/>
          <w:b/>
        </w:rPr>
        <w:t xml:space="preserve">Banker</w:t>
      </w:r>
      <w:r>
        <w:t xml:space="preserve">, we must ensure that these tools enhance rather than replace the human connection that defines Qatari hospitality and professional service.</w:t>
      </w:r>
    </w:p>
    <w:bookmarkEnd w:id="25"/>
    <w:bookmarkEnd w:id="26"/>
    <w:bookmarkStart w:id="27" w:name="X6f95f52e2dffc157af5ba069e6f07fe8e6ed361"/>
    <w:p>
      <w:pPr>
        <w:pStyle w:val="Heading2"/>
      </w:pPr>
      <w:r>
        <w:t xml:space="preserve">5. Financial Implications and Resource Allocation</w:t>
      </w:r>
    </w:p>
    <w:p>
      <w:pPr>
        <w:pStyle w:val="FirstParagraph"/>
      </w:pPr>
      <w:r>
        <w:t xml:space="preserve">The estimated budget for this project includes capital expenditure on hardware, software licensing, and workforce training, as well as operational costs related to maintenance and support. While the initial investment is substantial, the long-term benefits are projected to include reduced operational costs through automation, increased customer retention due to enhanced service quality, and new revenue streams from value-added digital services specific to the Qatar Doha market.</w:t>
      </w:r>
    </w:p>
    <w:bookmarkEnd w:id="27"/>
    <w:bookmarkStart w:id="28" w:name="risk-management"/>
    <w:p>
      <w:pPr>
        <w:pStyle w:val="Heading2"/>
      </w:pPr>
      <w:r>
        <w:t xml:space="preserve">6. Risk Management</w:t>
      </w:r>
    </w:p>
    <w:p>
      <w:pPr>
        <w:pStyle w:val="FirstParagraph"/>
      </w:pPr>
      <w:r>
        <w:t xml:space="preserve">Risk identification is a critical component of this Project Report. Key risks include technological failure, data breaches, and resistance to change among staff or customers. To mitigate these risks, the project employs a robust risk management framework that includes contingency planning, regular stress testing of IT systems, and comprehensive change management programs designed to foster a culture of innovation within banking institutions in Qatar Doha.</w:t>
      </w:r>
    </w:p>
    <w:bookmarkEnd w:id="28"/>
    <w:bookmarkStart w:id="29" w:name="conclusion"/>
    <w:p>
      <w:pPr>
        <w:pStyle w:val="Heading2"/>
      </w:pPr>
      <w:r>
        <w:t xml:space="preserve">7. Conclusion</w:t>
      </w:r>
    </w:p>
    <w:p>
      <w:pPr>
        <w:pStyle w:val="FirstParagraph"/>
      </w:pPr>
      <w:r>
        <w:t xml:space="preserve">In conclusion, this Project Report outlines a visionary path forward for the banking sector in Qatar Doha. By redefining the role of the</w:t>
      </w:r>
      <w:r>
        <w:t xml:space="preserve"> </w:t>
      </w:r>
      <w:r>
        <w:rPr>
          <w:bCs/>
          <w:b/>
        </w:rPr>
        <w:t xml:space="preserve">Banker</w:t>
      </w:r>
      <w:r>
        <w:t xml:space="preserve">, integrating advanced technologies, and aligning with national sustainability goals, Qatar Doha is well-positioned to lead the region in financial innovation. The successful implementation of this initiative will not only strengthen individual institutions but also contribute to the overall economic resilience and global competitiveness of Qatar Doha. As we move forward, it is imperative that all stakeholders remain committed to continuous improvement and adaptation, ensuring that the banking sector remains a dynamic driver of growth in this vibrant city.</w:t>
      </w:r>
    </w:p>
    <w:p>
      <w:pPr>
        <w:pStyle w:val="BodyText"/>
      </w:pPr>
      <w:r>
        <w:t xml:space="preserve">The transition to a next-generation banking model is not merely a technological upgrade but a strategic imperative. For every</w:t>
      </w:r>
      <w:r>
        <w:t xml:space="preserve"> </w:t>
      </w:r>
      <w:r>
        <w:rPr>
          <w:bCs/>
          <w:b/>
        </w:rPr>
        <w:t xml:space="preserve">Banker</w:t>
      </w:r>
      <w:r>
        <w:t xml:space="preserve"> </w:t>
      </w:r>
      <w:r>
        <w:t xml:space="preserve">operating in Qatar Doha, this represents an opportunity to elevate their professional standards and deliver unparalleled value to clients. Through collaborative effort and strategic investment, Qatar Doha will solidify its status as a premier financial hub in the Middle East.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Next-Generation Banker Initiative in Qatar Doha</dc:title>
  <dc:creator/>
  <dc:language>en</dc:language>
  <cp:keywords/>
  <dcterms:created xsi:type="dcterms:W3CDTF">2026-07-29T15:25:33Z</dcterms:created>
  <dcterms:modified xsi:type="dcterms:W3CDTF">2026-07-29T15:25:33Z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