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Banking</w:t>
      </w:r>
      <w:r>
        <w:t xml:space="preserve"> </w:t>
      </w:r>
      <w:r>
        <w:t xml:space="preserve">Solutions</w:t>
      </w:r>
      <w:r>
        <w:t xml:space="preserve"> </w:t>
      </w:r>
      <w:r>
        <w:t xml:space="preserve">in</w:t>
      </w:r>
      <w:r>
        <w:t xml:space="preserve"> </w:t>
      </w:r>
      <w:r>
        <w:t xml:space="preserve">Russia,</w:t>
      </w:r>
      <w:r>
        <w:t xml:space="preserve"> </w:t>
      </w:r>
      <w:r>
        <w:t xml:space="preserve">Moscow</w:t>
      </w:r>
    </w:p>
    <w:bookmarkStart w:id="30" w:name="X95dd6f8acf6db481d1f5f2622e1c9526e4264ec"/>
    <w:p>
      <w:pPr>
        <w:pStyle w:val="Heading1"/>
      </w:pPr>
      <w:r>
        <w:t xml:space="preserve">Project Report: Strategic Implementation of Banking Solutions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Strategic Planning Department</w:t>
      </w:r>
    </w:p>
    <w:bookmarkStart w:id="20" w:name="executive-summary"/>
    <w:p>
      <w:pPr>
        <w:pStyle w:val="Heading2"/>
      </w:pPr>
      <w:r>
        <w:t xml:space="preserve">1. Executive Summary</w:t>
      </w:r>
    </w:p>
    <w:p>
      <w:pPr>
        <w:pStyle w:val="FirstParagraph"/>
      </w:pPr>
      <w:r>
        <w:t xml:space="preserve">This Project Report outlines the comprehensive strategic framework for establishing and optimizing high-level banking operations within the financial capital of Russia, Moscow. As a global financial hub, Moscow serves as the critical nexus for economic activity in Eastern Europe and Central Asia. The objective of this initiative is to leverage specialized</w:t>
      </w:r>
      <w:r>
        <w:t xml:space="preserve"> </w:t>
      </w:r>
      <w:r>
        <w:rPr>
          <w:bCs/>
          <w:b/>
        </w:rPr>
        <w:t xml:space="preserve">Banker</w:t>
      </w:r>
      <w:r>
        <w:t xml:space="preserve"> </w:t>
      </w:r>
      <w:r>
        <w:t xml:space="preserve">methodologies to enhance transactional efficiency, ensure robust regulatory compliance with local statutes, and integrate seamlessly into the sophisticated digital infrastructure of the city. This document details our approach to navigating the unique socio-economic landscape of Moscow while adhering to international best practices in financial management.</w:t>
      </w:r>
    </w:p>
    <w:bookmarkEnd w:id="20"/>
    <w:bookmarkStart w:id="21" w:name="X587e7e50b0103ada958ab2e109720acda4fa5b8"/>
    <w:p>
      <w:pPr>
        <w:pStyle w:val="Heading2"/>
      </w:pPr>
      <w:r>
        <w:t xml:space="preserve">2. Strategic Context: The Moscow Financial Landscape</w:t>
      </w:r>
    </w:p>
    <w:p>
      <w:pPr>
        <w:pStyle w:val="FirstParagraph"/>
      </w:pPr>
      <w:r>
        <w:t xml:space="preserve">The selection of</w:t>
      </w:r>
      <w:r>
        <w:t xml:space="preserve"> </w:t>
      </w:r>
      <w:r>
        <w:rPr>
          <w:bCs/>
          <w:b/>
        </w:rPr>
        <w:t xml:space="preserve">Russia Moscow</w:t>
      </w:r>
      <w:r>
        <w:t xml:space="preserve"> </w:t>
      </w:r>
      <w:r>
        <w:t xml:space="preserve">as the focal point for this banking expansion is driven by its status as one of the world's leading economic centers. Despite global geopolitical fluctuations, the internal demand for sophisticated financial services in Moscow remains resilient and growing. The city hosts a dense concentration of corporate headquarters, government institutions, and high-net-worth individuals who require elite-tier</w:t>
      </w:r>
      <w:r>
        <w:t xml:space="preserve"> </w:t>
      </w:r>
      <w:r>
        <w:rPr>
          <w:bCs/>
          <w:b/>
        </w:rPr>
        <w:t xml:space="preserve">Banker</w:t>
      </w:r>
      <w:r>
        <w:t xml:space="preserve"> </w:t>
      </w:r>
      <w:r>
        <w:t xml:space="preserve">services.</w:t>
      </w:r>
    </w:p>
    <w:p>
      <w:pPr>
        <w:pStyle w:val="BodyText"/>
      </w:pPr>
      <w:r>
        <w:t xml:space="preserve">Moscow’s banking sector is characterized by rapid digitalization. Residents and businesses alike are highly accustomed to mobile-first financial interactions. Therefore, our strategy must prioritize a seamless digital user experience that rivals leading fintech startups while maintaining the trust and stability associated with traditional institutional</w:t>
      </w:r>
      <w:r>
        <w:t xml:space="preserve"> </w:t>
      </w:r>
      <w:r>
        <w:rPr>
          <w:bCs/>
          <w:b/>
        </w:rPr>
        <w:t xml:space="preserve">Banker</w:t>
      </w:r>
      <w:r>
        <w:t xml:space="preserve"> </w:t>
      </w:r>
      <w:r>
        <w:t xml:space="preserve">relationships. Understanding the specific consumer behaviors in Moscow is paramount; clients here value speed, security, and personalized advisory services above all else.</w:t>
      </w:r>
    </w:p>
    <w:bookmarkEnd w:id="21"/>
    <w:bookmarkStart w:id="25" w:name="Xdbf895bda81025d75ebecfdb00f775d78f066a3"/>
    <w:p>
      <w:pPr>
        <w:pStyle w:val="Heading2"/>
      </w:pPr>
      <w:r>
        <w:t xml:space="preserve">3. Operational Framework for Banker Services</w:t>
      </w:r>
    </w:p>
    <w:p>
      <w:pPr>
        <w:pStyle w:val="FirstParagraph"/>
      </w:pPr>
      <w:r>
        <w:t xml:space="preserve">To succeed in this market, we must redefine our standard</w:t>
      </w:r>
      <w:r>
        <w:t xml:space="preserve"> </w:t>
      </w:r>
      <w:r>
        <w:rPr>
          <w:bCs/>
          <w:b/>
        </w:rPr>
        <w:t xml:space="preserve">Banker</w:t>
      </w:r>
      <w:r>
        <w:t xml:space="preserve"> </w:t>
      </w:r>
      <w:r>
        <w:t xml:space="preserve">protocols to align with local expectations. The core of our operational framework rests on three pillars: digital integration, regulatory alignment, and personalized advisory.</w:t>
      </w:r>
    </w:p>
    <w:bookmarkStart w:id="22" w:name="digital-integration-and-infrastructure"/>
    <w:p>
      <w:pPr>
        <w:pStyle w:val="Heading3"/>
      </w:pPr>
      <w:r>
        <w:t xml:space="preserve">3.1 Digital Integration and Infrastructure</w:t>
      </w:r>
    </w:p>
    <w:p>
      <w:pPr>
        <w:pStyle w:val="FirstParagraph"/>
      </w:pPr>
      <w:r>
        <w:t xml:space="preserve">In Moscow, the physical branch is no longer the primary touchpoint for most banking activities. Our</w:t>
      </w:r>
      <w:r>
        <w:t xml:space="preserve"> </w:t>
      </w:r>
      <w:r>
        <w:rPr>
          <w:bCs/>
          <w:b/>
        </w:rPr>
        <w:t xml:space="preserve">Banker</w:t>
      </w:r>
      <w:r>
        <w:t xml:space="preserve"> </w:t>
      </w:r>
      <w:r>
        <w:t xml:space="preserve">staff must be equipped with advanced digital tools that allow for remote client management, real-time transaction monitoring, and instant advisory support. We will implement a unified dashboard that integrates seamlessly with local payment systems dominant in Russia Moscow, ensuring low-latency transactions and high availability.</w:t>
      </w:r>
    </w:p>
    <w:bookmarkEnd w:id="22"/>
    <w:bookmarkStart w:id="23" w:name="X101ecc4296dd6393e0a669a519e77b87c8106e0"/>
    <w:p>
      <w:pPr>
        <w:pStyle w:val="Heading3"/>
      </w:pPr>
      <w:r>
        <w:t xml:space="preserve">3.2 Regulatory Compliance and Risk Management</w:t>
      </w:r>
    </w:p>
    <w:p>
      <w:pPr>
        <w:pStyle w:val="FirstParagraph"/>
      </w:pPr>
      <w:r>
        <w:t xml:space="preserve">Navigating the regulatory environment of Russia Moscow requires meticulous attention to detail. Our</w:t>
      </w:r>
      <w:r>
        <w:t xml:space="preserve"> </w:t>
      </w:r>
      <w:r>
        <w:rPr>
          <w:bCs/>
          <w:b/>
        </w:rPr>
        <w:t xml:space="preserve">Banker</w:t>
      </w:r>
      <w:r>
        <w:t xml:space="preserve"> </w:t>
      </w:r>
      <w:r>
        <w:t xml:space="preserve">team will undergo rigorous training on local anti-money laundering (AML) laws, know-your-customer (KYC) protocols, and central bank directives. Compliance is not merely a legal obligation but a cornerstone of building trust with clients in the Moscow region. We will establish a dedicated compliance oversight unit to monitor transactions continuously, ensuring that all</w:t>
      </w:r>
      <w:r>
        <w:t xml:space="preserve"> </w:t>
      </w:r>
      <w:r>
        <w:rPr>
          <w:bCs/>
          <w:b/>
        </w:rPr>
        <w:t xml:space="preserve">Banker</w:t>
      </w:r>
      <w:r>
        <w:t xml:space="preserve"> </w:t>
      </w:r>
      <w:r>
        <w:t xml:space="preserve">activities adhere strictly to both local Russian regulations and international standards.</w:t>
      </w:r>
    </w:p>
    <w:bookmarkEnd w:id="23"/>
    <w:bookmarkStart w:id="24" w:name="personalized-advisory-services"/>
    <w:p>
      <w:pPr>
        <w:pStyle w:val="Heading3"/>
      </w:pPr>
      <w:r>
        <w:t xml:space="preserve">3.3 Personalized Advisory Services</w:t>
      </w:r>
    </w:p>
    <w:p>
      <w:pPr>
        <w:pStyle w:val="FirstParagraph"/>
      </w:pPr>
      <w:r>
        <w:t xml:space="preserve">The role of the</w:t>
      </w:r>
      <w:r>
        <w:t xml:space="preserve"> </w:t>
      </w:r>
      <w:r>
        <w:rPr>
          <w:bCs/>
          <w:b/>
        </w:rPr>
        <w:t xml:space="preserve">Banker</w:t>
      </w:r>
      <w:r>
        <w:t xml:space="preserve">, particularly in the affluent market of Moscow, extends beyond transaction processing to wealth preservation and strategic financial planning. Our approach involves deploying senior-level</w:t>
      </w:r>
      <w:r>
        <w:t xml:space="preserve"> </w:t>
      </w:r>
      <w:r>
        <w:rPr>
          <w:bCs/>
          <w:b/>
        </w:rPr>
        <w:t xml:space="preserve">Banker</w:t>
      </w:r>
    </w:p>
    <w:bookmarkEnd w:id="24"/>
    <w:bookmarkEnd w:id="25"/>
    <w:bookmarkStart w:id="26" w:name="market-analysis-and-client-acquisition"/>
    <w:p>
      <w:pPr>
        <w:pStyle w:val="Heading2"/>
      </w:pPr>
      <w:r>
        <w:t xml:space="preserve">4. Market Analysis and Client Acquisition</w:t>
      </w:r>
    </w:p>
    <w:p>
      <w:pPr>
        <w:pStyle w:val="FirstParagraph"/>
      </w:pPr>
      <w:r>
        <w:t xml:space="preserve">The target demographic for our</w:t>
      </w:r>
      <w:r>
        <w:t xml:space="preserve"> </w:t>
      </w:r>
      <w:r>
        <w:rPr>
          <w:bCs/>
          <w:b/>
        </w:rPr>
        <w:t xml:space="preserve">Banker</w:t>
      </w:r>
      <w:r>
        <w:t xml:space="preserve"> </w:t>
      </w:r>
      <w:r>
        <w:t xml:space="preserve">services in Russia Moscow includes mid-to-large enterprises, expatriate business leaders, and ultra-high-net-worth individuals. Our market entry strategy involves leveraging partnerships with local legal firms, real estate developers, and international trade organizations operating in the capital.</w:t>
      </w:r>
    </w:p>
    <w:p>
      <w:pPr>
        <w:pStyle w:val="BodyText"/>
      </w:pPr>
      <w:r>
        <w:t xml:space="preserve">We have identified a significant gap in the market for transparent, internationally compliant</w:t>
      </w:r>
      <w:r>
        <w:t xml:space="preserve"> </w:t>
      </w:r>
      <w:r>
        <w:rPr>
          <w:bCs/>
          <w:b/>
        </w:rPr>
        <w:t xml:space="preserve">Banker</w:t>
      </w:r>
      <w:r>
        <w:t xml:space="preserve"> </w:t>
      </w:r>
      <w:r>
        <w:t xml:space="preserve">services that cater specifically to cross-border transactions involving Moscow-based entities. By positioning our brand as a bridge between global financial markets and local opportunities, we can capture a substantial share of this niche. Marketing efforts will focus on highlighting the reliability and expertise of our</w:t>
      </w:r>
      <w:r>
        <w:t xml:space="preserve"> </w:t>
      </w:r>
      <w:r>
        <w:rPr>
          <w:bCs/>
          <w:b/>
        </w:rPr>
        <w:t xml:space="preserve">Banker</w:t>
      </w:r>
      <w:r>
        <w:t xml:space="preserve"> </w:t>
      </w:r>
      <w:r>
        <w:t xml:space="preserve">team, emphasizing their deep understanding of the complexities inherent in the Russia Moscow economic environment.</w:t>
      </w:r>
    </w:p>
    <w:bookmarkEnd w:id="26"/>
    <w:bookmarkStart w:id="27" w:name="human-resources-and-training"/>
    <w:p>
      <w:pPr>
        <w:pStyle w:val="Heading2"/>
      </w:pPr>
      <w:r>
        <w:t xml:space="preserve">5. Human Resources and Training</w:t>
      </w:r>
    </w:p>
    <w:p>
      <w:pPr>
        <w:pStyle w:val="FirstParagraph"/>
      </w:pPr>
      <w:r>
        <w:t xml:space="preserve">The success of this project hinges on the caliber of our personnel. We intend to recruit</w:t>
      </w:r>
      <w:r>
        <w:t xml:space="preserve"> </w:t>
      </w:r>
      <w:r>
        <w:rPr>
          <w:bCs/>
          <w:b/>
        </w:rPr>
        <w:t xml:space="preserve">Banker</w:t>
      </w:r>
      <w:r>
        <w:t xml:space="preserve">s who possess not only strong financial acumen but also cultural intelligence regarding Moscow’s business etiquette. Ongoing training will be mandatory, focusing on the evolving regulatory landscape in Russia Moscow and emerging trends in global banking.</w:t>
      </w:r>
    </w:p>
    <w:p>
      <w:pPr>
        <w:pStyle w:val="BodyText"/>
      </w:pPr>
      <w:r>
        <w:t xml:space="preserve">We will implement a mentorship program where senior</w:t>
      </w:r>
      <w:r>
        <w:t xml:space="preserve"> </w:t>
      </w:r>
      <w:r>
        <w:rPr>
          <w:bCs/>
          <w:b/>
        </w:rPr>
        <w:t xml:space="preserve">Banker</w:t>
      </w:r>
      <w:r>
        <w:t xml:space="preserve">s guide junior staff through complex case studies specific to the region. This ensures that every member of our team embodies the professional standards expected by clients in this high-stakes environment. Furthermore, we recognize the importance of language proficiency; all</w:t>
      </w:r>
      <w:r>
        <w:t xml:space="preserve"> </w:t>
      </w:r>
      <w:r>
        <w:rPr>
          <w:bCs/>
          <w:b/>
        </w:rPr>
        <w:t xml:space="preserve">Banker</w:t>
      </w:r>
      <w:r>
        <w:t xml:space="preserve"> </w:t>
      </w:r>
      <w:r>
        <w:t xml:space="preserve">staff must be fluent in Russian and English to effectively serve both local and international clients.</w:t>
      </w:r>
    </w:p>
    <w:bookmarkEnd w:id="27"/>
    <w:bookmarkStart w:id="28" w:name="risk-assessment-and-mitigation"/>
    <w:p>
      <w:pPr>
        <w:pStyle w:val="Heading2"/>
      </w:pPr>
      <w:r>
        <w:t xml:space="preserve">6. Risk Assessment and Mitigation</w:t>
      </w:r>
    </w:p>
    <w:p>
      <w:pPr>
        <w:pStyle w:val="FirstParagraph"/>
      </w:pPr>
      <w:r>
        <w:t xml:space="preserve">Ongoing operations in Russia Moscow carry inherent risks, including geopolitical volatility, currency fluctuation, and regulatory changes. Our</w:t>
      </w:r>
      <w:r>
        <w:t xml:space="preserve"> </w:t>
      </w:r>
      <w:r>
        <w:rPr>
          <w:bCs/>
          <w:b/>
        </w:rPr>
        <w:t xml:space="preserve">Banker</w:t>
      </w:r>
      <w:r>
        <w:t xml:space="preserve">s are trained to identify early warning signs of these risks and implement mitigation strategies accordingly. We maintain a diversified portfolio approach for our clients to protect against market shocks.</w:t>
      </w:r>
    </w:p>
    <w:p>
      <w:pPr>
        <w:pStyle w:val="BodyText"/>
      </w:pPr>
      <w:r>
        <w:t xml:space="preserve">Additionally, cybersecurity is a critical concern in the digital age. We invest heavily in protecting the data integrity of our</w:t>
      </w:r>
      <w:r>
        <w:t xml:space="preserve"> </w:t>
      </w:r>
      <w:r>
        <w:rPr>
          <w:bCs/>
          <w:b/>
        </w:rPr>
        <w:t xml:space="preserve">Banker</w:t>
      </w:r>
      <w:r>
        <w:t xml:space="preserve"> </w:t>
      </w:r>
      <w:r>
        <w:t xml:space="preserve">systems. Regular audits and penetration testing are conducted to ensure that client information stored within our Moscow operations remains secure from cyber threats.</w:t>
      </w:r>
    </w:p>
    <w:bookmarkEnd w:id="28"/>
    <w:bookmarkStart w:id="29" w:name="conclusion-and-future-outlook"/>
    <w:p>
      <w:pPr>
        <w:pStyle w:val="Heading2"/>
      </w:pPr>
      <w:r>
        <w:t xml:space="preserve">7. Conclusion and Future Outlook</w:t>
      </w:r>
    </w:p>
    <w:p>
      <w:pPr>
        <w:pStyle w:val="FirstParagraph"/>
      </w:pPr>
      <w:r>
        <w:t xml:space="preserve">In conclusion, this Project Report demonstrates that establishing a robust banking presence in Russia Moscow is a viable and strategic imperative. By adhering to the highest standards of</w:t>
      </w:r>
      <w:r>
        <w:t xml:space="preserve"> </w:t>
      </w:r>
      <w:r>
        <w:rPr>
          <w:bCs/>
          <w:b/>
        </w:rPr>
        <w:t xml:space="preserve">Banker</w:t>
      </w:r>
      <w:r>
        <w:t xml:space="preserve"> </w:t>
      </w:r>
      <w:r>
        <w:t xml:space="preserve">professionalism, embracing digital innovation, and maintaining strict compliance with local regulations, we are well-positioned to succeed in this dynamic market.</w:t>
      </w:r>
    </w:p>
    <w:p>
      <w:pPr>
        <w:pStyle w:val="BodyText"/>
      </w:pPr>
      <w:r>
        <w:t xml:space="preserve">The synergy between our global expertise and local specialization will create significant value for our clients. As we move forward, we remain committed to evolving our</w:t>
      </w:r>
      <w:r>
        <w:t xml:space="preserve"> </w:t>
      </w:r>
      <w:r>
        <w:rPr>
          <w:bCs/>
          <w:b/>
        </w:rPr>
        <w:t xml:space="preserve">Banker</w:t>
      </w:r>
      <w:r>
        <w:t xml:space="preserve"> </w:t>
      </w:r>
      <w:r>
        <w:t xml:space="preserve">services in response to the changing dynamics of Russia Moscow. This document serves as a blueprint for sustained growth, ensuring that every interaction with a</w:t>
      </w:r>
      <w:r>
        <w:t xml:space="preserve"> </w:t>
      </w:r>
      <w:r>
        <w:rPr>
          <w:bCs/>
          <w:b/>
        </w:rPr>
        <w:t xml:space="preserve">Banker</w:t>
      </w:r>
      <w:r>
        <w:t xml:space="preserve"> </w:t>
      </w:r>
      <w:r>
        <w:t xml:space="preserve">reflects excellence, integrity, and deep market insight.</w:t>
      </w:r>
    </w:p>
    <w:p>
      <w:pPr>
        <w:pStyle w:val="BodyText"/>
      </w:pPr>
      <w:r>
        <w:t xml:space="preserve">We recommend immediate approval of the proposed budget to commence Phase One operations in Moscow. The potential returns on investment are substantial, provided we maintain our focus on delivering superior</w:t>
      </w:r>
      <w:r>
        <w:t xml:space="preserve"> </w:t>
      </w:r>
      <w:r>
        <w:rPr>
          <w:bCs/>
          <w:b/>
        </w:rPr>
        <w:t xml:space="preserve">Banker</w:t>
      </w:r>
      <w:r>
        <w:t xml:space="preserve">-led financial solutions tailored to the unique needs of the Russia Moscow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Banking Solutions in Russia, Moscow</dc:title>
  <dc:creator/>
  <dc:language>en</dc:language>
  <cp:keywords/>
  <dcterms:created xsi:type="dcterms:W3CDTF">2026-07-30T06:18:42Z</dcterms:created>
  <dcterms:modified xsi:type="dcterms:W3CDTF">2026-07-30T06:18:42Z</dcterms:modified>
</cp:coreProperties>
</file>

<file path=docProps/custom.xml><?xml version="1.0" encoding="utf-8"?>
<Properties xmlns="http://schemas.openxmlformats.org/officeDocument/2006/custom-properties" xmlns:vt="http://schemas.openxmlformats.org/officeDocument/2006/docPropsVTypes"/>
</file>