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Banker</w:t>
      </w:r>
      <w:r>
        <w:t xml:space="preserve"> </w:t>
      </w:r>
      <w:r>
        <w:t xml:space="preserve">Services</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project-report"/>
    <w:p>
      <w:pPr>
        <w:pStyle w:val="Heading1"/>
      </w:pPr>
      <w:r>
        <w:t xml:space="preserve">Project Report</w:t>
      </w:r>
    </w:p>
    <w:bookmarkStart w:id="20" w:name="date"/>
    <w:p>
      <w:pPr>
        <w:pStyle w:val="Heading3"/>
      </w:pPr>
      <w:r>
        <w:rPr>
          <w:bCs/>
          <w:b/>
        </w:rPr>
        <w:t xml:space="preserve">Date:</w:t>
      </w:r>
    </w:p>
    <w:p>
      <w:pPr>
        <w:pStyle w:val="FirstParagraph"/>
      </w:pPr>
      <w:r>
        <w:rPr>
          <w:iCs/>
          <w:i/>
        </w:rPr>
        <w:t xml:space="preserve">(Current Date)</w:t>
      </w:r>
      <w:r>
        <w:br/>
      </w:r>
      <w:r>
        <w:rPr>
          <w:bCs/>
          <w:b/>
        </w:rPr>
        <w:t xml:space="preserve">To:</w:t>
      </w:r>
    </w:p>
    <w:p>
      <w:pPr>
        <w:pStyle w:val="BodyText"/>
      </w:pPr>
      <w:r>
        <w:t xml:space="preserve">Content</w:t>
      </w:r>
    </w:p>
    <w:p>
      <w:pPr>
        <w:pStyle w:val="BodyText"/>
      </w:pPr>
      <w:r>
        <w:rPr>
          <w:bCs/>
          <w:b/>
        </w:rPr>
        <w:t xml:space="preserve">.</w:t>
      </w:r>
    </w:p>
    <w:bookmarkEnd w:id="20"/>
    <w:bookmarkStart w:id="21" w:name="executive-summary"/>
    <w:p>
      <w:pPr>
        <w:pStyle w:val="Heading2"/>
      </w:pPr>
      <w:r>
        <w:t xml:space="preserve">Executive Summary</w:t>
      </w:r>
    </w:p>
    <w:p>
      <w:pPr>
        <w:pStyle w:val="FirstParagraph"/>
      </w:pPr>
      <w:r>
        <w:t xml:space="preserve">This document serves as a comprehensive Project Report detailing the strategic deployment of advanced banking solutions within the specific geographic and economic context of Russia Saint Petersburg. The primary objective is to establish a robust framework for modern Banker operations that align with local regulatory requirements while leveraging the unique commercial dynamics of this historic northern capital. The report outlines market analysis, operational strategies, risk management protocols, and technological integration plans tailored specifically for the banking sector in Russia Saint Petersburg.</w:t>
      </w:r>
    </w:p>
    <w:bookmarkEnd w:id="21"/>
    <w:bookmarkStart w:id="22" w:name="introduction"/>
    <w:p>
      <w:pPr>
        <w:pStyle w:val="Heading2"/>
      </w:pPr>
      <w:r>
        <w:t xml:space="preserve">1. Introduction</w:t>
      </w:r>
    </w:p>
    <w:p>
      <w:pPr>
        <w:pStyle w:val="FirstParagraph"/>
      </w:pPr>
      <w:r>
        <w:t xml:space="preserve">The financial landscape in Russia is undergoing significant transformation driven by digitalization and evolving regulatory standards. Within this broader national context, the city of Russia Saint Petersburg stands out as a critical economic hub. As the second-largest city in the country, it serves not only as a cultural center but also as a pivotal node for international trade, logistics, and technology sectors in Northwestern Russia.</w:t>
      </w:r>
    </w:p>
    <w:p>
      <w:pPr>
        <w:pStyle w:val="BodyText"/>
      </w:pPr>
      <w:r>
        <w:t xml:space="preserve">This Project Report focuses on the implementation of next-generation Banker services designed to cater to both retail consumers and corporate entities within this region. The initiative aims to enhance financial inclusion, streamline cross-border transactions facilitated by the port infrastructure of Saint Petersburg, and provide secure, efficient banking experiences in compliance with Central Bank regulations.</w:t>
      </w:r>
    </w:p>
    <w:bookmarkEnd w:id="22"/>
    <w:bookmarkStart w:id="25" w:name="X17ebc515831e3ac5a95c97061682ad339af6cc2"/>
    <w:p>
      <w:pPr>
        <w:pStyle w:val="Heading2"/>
      </w:pPr>
      <w:r>
        <w:t xml:space="preserve">2. Market Analysis: The Russia Saint Petersburg Context</w:t>
      </w:r>
    </w:p>
    <w:bookmarkStart w:id="23" w:name="economic-landscape"/>
    <w:p>
      <w:pPr>
        <w:pStyle w:val="Heading3"/>
      </w:pPr>
      <w:r>
        <w:t xml:space="preserve">2.1 Economic Landscape</w:t>
      </w:r>
    </w:p>
    <w:p>
      <w:pPr>
        <w:pStyle w:val="FirstParagraph"/>
      </w:pPr>
      <w:r>
        <w:t xml:space="preserve">Russia Saint Petersburg boasts a diverse economy characterized by shipbuilding, oil refining, technology startups, and tourism. The presence of numerous multinational corporations headquartered in the city creates a high demand for sophisticated corporate banking services.</w:t>
      </w:r>
    </w:p>
    <w:p>
      <w:pPr>
        <w:pStyle w:val="BodyText"/>
      </w:pPr>
      <w:r>
        <w:t xml:space="preserve">The local population exhibits increasing digital literacy, driving the need for user-friendly mobile banking applications and seamless online transaction capabilities.</w:t>
      </w:r>
    </w:p>
    <w:bookmarkEnd w:id="23"/>
    <w:bookmarkStart w:id="24" w:name="competitive-environment"/>
    <w:p>
      <w:pPr>
        <w:pStyle w:val="Heading3"/>
      </w:pPr>
      <w:r>
        <w:t xml:space="preserve">2.2 Competitive Environment</w:t>
      </w:r>
    </w:p>
    <w:p>
      <w:pPr>
        <w:pStyle w:val="FirstParagraph"/>
      </w:pPr>
      <w:r>
        <w:rPr>
          <w:bCs/>
          <w:b/>
        </w:rPr>
        <w:t xml:space="preserve">Current Landscape:</w:t>
      </w:r>
    </w:p>
    <w:p>
      <w:pPr>
        <w:pStyle w:val="BodyText"/>
      </w:pPr>
      <w:r>
        <w:t xml:space="preserve">A competitive market exists with major national banks and regional players. However, there is a gap in services that specifically cater to the unique needs of international businesses operating out of Russia Saint Petersburg, particularly regarding currency exchange stability and cross-border payment facilitation.</w:t>
      </w:r>
    </w:p>
    <w:bookmarkEnd w:id="24"/>
    <w:bookmarkEnd w:id="25"/>
    <w:bookmarkStart w:id="26" w:name="strategic-objectives"/>
    <w:p>
      <w:pPr>
        <w:pStyle w:val="Heading2"/>
      </w:pPr>
      <w:r>
        <w:t xml:space="preserve">3. Strategic Objectives</w:t>
      </w:r>
    </w:p>
    <w:p>
      <w:pPr>
        <w:pStyle w:val="FirstParagraph"/>
      </w:pPr>
      <w:r>
        <w:t xml:space="preserve">The core objectives of this Banker implementation project are as follows:</w:t>
      </w:r>
    </w:p>
    <w:p>
      <w:pPr>
        <w:numPr>
          <w:ilvl w:val="0"/>
          <w:numId w:val="1001"/>
        </w:numPr>
        <w:pStyle w:val="Compact"/>
      </w:pPr>
      <w:r>
        <w:rPr>
          <w:bCs/>
          <w:b/>
        </w:rPr>
        <w:t xml:space="preserve">Digital Transformation:</w:t>
      </w:r>
    </w:p>
    <w:p>
      <w:pPr>
        <w:numPr>
          <w:ilvl w:val="0"/>
          <w:numId w:val="1001"/>
        </w:numPr>
        <w:pStyle w:val="Compact"/>
      </w:pPr>
      <w:r>
        <w:rPr>
          <w:bCs/>
          <w:b/>
        </w:rPr>
        <w:t xml:space="preserve">Regulatory Compliance:</w:t>
      </w:r>
    </w:p>
    <w:p>
      <w:pPr>
        <w:numPr>
          <w:ilvl w:val="0"/>
          <w:numId w:val="1001"/>
        </w:numPr>
        <w:pStyle w:val="Compact"/>
      </w:pPr>
      <w:r>
        <w:rPr>
          <w:bCs/>
          <w:b/>
        </w:rPr>
        <w:t xml:space="preserve">Local Engagement:</w:t>
      </w:r>
    </w:p>
    <w:bookmarkEnd w:id="26"/>
    <w:bookmarkStart w:id="29" w:name="operational-framework"/>
    <w:p>
      <w:pPr>
        <w:pStyle w:val="Heading2"/>
      </w:pPr>
      <w:r>
        <w:t xml:space="preserve">4. Operational Framework</w:t>
      </w:r>
    </w:p>
    <w:p>
      <w:pPr>
        <w:pStyle w:val="FirstParagraph"/>
      </w:pPr>
      <w:r>
        <w:t xml:space="preserve">The operational model for this Banker initiative relies on a hybrid approach, combining digital-first services with strategic physical presence.</w:t>
      </w:r>
    </w:p>
    <w:bookmarkStart w:id="27" w:name="technological-infrastructure"/>
    <w:p>
      <w:pPr>
        <w:pStyle w:val="Heading3"/>
      </w:pPr>
      <w:r>
        <w:t xml:space="preserve">4.1 Technological Infrastructure</w:t>
      </w:r>
    </w:p>
    <w:p>
      <w:pPr>
        <w:pStyle w:val="FirstParagraph"/>
      </w:pPr>
      <w:r>
        <w:rPr>
          <w:bCs/>
          <w:b/>
        </w:rPr>
        <w:t xml:space="preserve">Core Banking System:</w:t>
      </w:r>
    </w:p>
    <w:p>
      <w:pPr>
        <w:pStyle w:val="BodyText"/>
      </w:pPr>
      <w:r>
        <w:t xml:space="preserve">A cloud-based core banking system will be deployed to ensure scalability and security. The system must support real-time processing of transactions in Russian Rubles (RUB) and major foreign currencies.</w:t>
      </w:r>
    </w:p>
    <w:p>
      <w:pPr>
        <w:pStyle w:val="BodyText"/>
      </w:pPr>
      <w:r>
        <w:t xml:space="preserve">Data localization is a critical requirement under Russian law. Therefore, all customer data pertaining to individuals and entities in Russia Saint Petersburg must be stored on servers physically located within the Russian Federation.</w:t>
      </w:r>
    </w:p>
    <w:bookmarkEnd w:id="27"/>
    <w:bookmarkStart w:id="28" w:name="human-resources"/>
    <w:p>
      <w:pPr>
        <w:pStyle w:val="Heading3"/>
      </w:pPr>
      <w:r>
        <w:t xml:space="preserve">4.2 Human Resources</w:t>
      </w:r>
    </w:p>
    <w:p>
      <w:pPr>
        <w:pStyle w:val="FirstParagraph"/>
      </w:pPr>
      <w:r>
        <w:rPr>
          <w:bCs/>
          <w:b/>
        </w:rPr>
        <w:t xml:space="preserve">Talent Acquisition:</w:t>
      </w:r>
    </w:p>
    <w:p>
      <w:pPr>
        <w:pStyle w:val="BodyText"/>
      </w:pPr>
      <w:r>
        <w:t xml:space="preserve">The project will prioritize hiring local talent from Russia Saint Petersburg who possess a deep understanding of regional market nuances. Training programs will be implemented to ensure all Banker staff are proficient in the latest compliance standards and customer service excellence.</w:t>
      </w:r>
    </w:p>
    <w:bookmarkEnd w:id="28"/>
    <w:bookmarkEnd w:id="29"/>
    <w:bookmarkStart w:id="30" w:name="risk-management"/>
    <w:p>
      <w:pPr>
        <w:pStyle w:val="Heading2"/>
      </w:pPr>
      <w:r>
        <w:t xml:space="preserve">5. Risk Management</w:t>
      </w:r>
    </w:p>
    <w:p>
      <w:pPr>
        <w:pStyle w:val="FirstParagraph"/>
      </w:pPr>
      <w:r>
        <w:t xml:space="preserve">Risk management is integral to the success of any banking project, especially in the current geopolitical climate affecting Russia Saint Petersburg.</w:t>
      </w:r>
    </w:p>
    <w:p>
      <w:pPr>
        <w:numPr>
          <w:ilvl w:val="0"/>
          <w:numId w:val="1002"/>
        </w:numPr>
        <w:pStyle w:val="Compact"/>
      </w:pPr>
      <w:r>
        <w:rPr>
          <w:bCs/>
          <w:b/>
        </w:rPr>
        <w:t xml:space="preserve">Cybersecurity:</w:t>
      </w:r>
    </w:p>
    <w:p>
      <w:pPr>
        <w:pStyle w:val="FirstParagraph"/>
      </w:pPr>
      <w:r>
        <w:t xml:space="preserve">A multi-layered cybersecurity framework will be implemented to protect against cyber threats. Regular penetration testing and security audits will be conducted by third-party experts specialized in Russian market vulnerabilities.</w:t>
      </w:r>
    </w:p>
    <w:p>
      <w:pPr>
        <w:pStyle w:val="BodyText"/>
      </w:pPr>
      <w:r>
        <w:rPr>
          <w:iCs/>
          <w:i/>
        </w:rPr>
        <w:t xml:space="preserve">Alert: Continuous monitoring of sanctions compliance is required to ensure no inadvertent violations occur.</w:t>
      </w:r>
    </w:p>
    <w:p>
      <w:pPr>
        <w:pStyle w:val="BodyText"/>
      </w:pPr>
      <w:r>
        <w:rPr>
          <w:bCs/>
          <w:b/>
        </w:rPr>
        <w:t xml:space="preserve">Financial Risk:</w:t>
      </w:r>
    </w:p>
    <w:p>
      <w:pPr>
        <w:pStyle w:val="BodyText"/>
      </w:pPr>
      <w:r>
        <w:t xml:space="preserve">Risk mitigation strategies will include rigorous credit assessment models tailored to the local economic conditions of Russia Saint Petersburg. Liquidity management systems will be in place to handle fluctuations in currency exchange rates.</w:t>
      </w:r>
      <w:r>
        <w:br/>
      </w:r>
    </w:p>
    <w:p>
      <w:pPr>
        <w:pStyle w:val="BodyText"/>
      </w:pPr>
      <w:r>
        <w:rPr>
          <w:bCs/>
          <w:b/>
        </w:rPr>
        <w:t xml:space="preserve">Reputational Risk:</w:t>
      </w:r>
    </w:p>
    <w:p>
      <w:pPr>
        <w:pStyle w:val="BodyText"/>
      </w:pPr>
      <w:r>
        <w:t xml:space="preserve">A proactive communication strategy will be adopted to maintain transparency with stakeholders and the community in Russia Saint Petersburg.</w:t>
      </w:r>
    </w:p>
    <w:bookmarkEnd w:id="30"/>
    <w:bookmarkStart w:id="31" w:name="implementation-timeline"/>
    <w:p>
      <w:pPr>
        <w:pStyle w:val="Heading2"/>
      </w:pPr>
      <w:r>
        <w:t xml:space="preserve">6. Implementation Timeline</w:t>
      </w:r>
    </w:p>
    <w:p>
      <w:pPr>
        <w:pStyle w:val="FirstParagraph"/>
      </w:pPr>
      <w:r>
        <w:t xml:space="preserve">Phase</w:t>
      </w:r>
    </w:p>
    <w:p>
      <w:pPr>
        <w:pStyle w:val="BodyText"/>
      </w:pPr>
      <w:r>
        <w:t xml:space="preserve">Activities</w:t>
      </w:r>
    </w:p>
    <w:p>
      <w:pPr>
        <w:pStyle w:val="BodyText"/>
      </w:pPr>
      <w:r>
        <w:t xml:space="preserve">Planning &amp; Compliance Review (Months 1-2)</w:t>
      </w:r>
    </w:p>
    <w:p>
      <w:pPr>
        <w:pStyle w:val="BodyText"/>
      </w:pPr>
      <w:r>
        <w:t xml:space="preserve">Russia Saint Petersburg regulatory consultation, feasibility studies.</w:t>
      </w:r>
    </w:p>
    <w:p>
      <w:pPr>
        <w:pStyle w:val="BodyText"/>
      </w:pPr>
      <w:r>
        <w:rPr>
          <w:bCs/>
          <w:b/>
        </w:rPr>
        <w:t xml:space="preserve">Six-Month Milestone:</w:t>
      </w:r>
    </w:p>
    <w:p>
      <w:pPr>
        <w:pStyle w:val="BodyText"/>
      </w:pPr>
      <w:r>
        <w:t xml:space="preserve">A fully functional pilot branch will open in the central district of Russia Saint Petersburg.</w:t>
      </w:r>
    </w:p>
    <w:bookmarkEnd w:id="31"/>
    <w:bookmarkStart w:id="32" w:name="conclusion"/>
    <w:p>
      <w:pPr>
        <w:pStyle w:val="Heading2"/>
      </w:pPr>
      <w:r>
        <w:t xml:space="preserve">7. Conclusion</w:t>
      </w:r>
    </w:p>
    <w:p>
      <w:pPr>
        <w:pStyle w:val="FirstParagraph"/>
      </w:pPr>
      <w:r>
        <w:t xml:space="preserve">This Project Report has outlined a comprehensive strategy for introducing modern Banker services to the vibrant market of Russia Saint Petersburg. By leveraging local insights, ensuring strict regulatory compliance, and investing in robust technological infrastructure, we can establish a leading banking presence in this region.</w:t>
      </w:r>
    </w:p>
    <w:p>
      <w:pPr>
        <w:pStyle w:val="BodyText"/>
      </w:pPr>
      <w:r>
        <w:t xml:space="preserve">The success of this project depends on careful execution and continuous adaptation to the dynamic economic environment of Russia Saint Petersburg. With a focus on customer-centricity and operational excellence, this initiative promises to deliver significant value to customers, stakeholders, and the broader community.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Banker Services in Russia, Saint Petersburg</dc:title>
  <dc:creator/>
  <dc:language>en</dc:language>
  <cp:keywords/>
  <dcterms:created xsi:type="dcterms:W3CDTF">2026-07-29T18:41:04Z</dcterms:created>
  <dcterms:modified xsi:type="dcterms:W3CDTF">2026-07-29T18:41:04Z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