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37a0215a0ba92842467bf162fc48a3eadb38cee"/>
    <w:p>
      <w:pPr>
        <w:pStyle w:val="Heading1"/>
      </w:pPr>
      <w:r>
        <w:t xml:space="preserve">Project Report Strategic Integration of Automated Banking Solutions in Saudi Arabia Riyadh</w:t>
      </w:r>
    </w:p>
    <w:bookmarkStart w:id="20" w:name="Xbf526445830207a81ef364ca4efd7ea06e6188d"/>
    <w:p>
      <w:pPr>
        <w:pStyle w:val="Heading2"/>
      </w:pPr>
      <w:r>
        <w:rPr>
          <w:bCs/>
          <w:b/>
        </w:rPr>
        <w:t xml:space="preserve">Date:</w:t>
      </w:r>
      <w:r>
        <w:t xml:space="preserve">  October 20, 2023</w:t>
      </w:r>
      <w:r>
        <w:br/>
      </w:r>
      <w:r>
        <w:rPr>
          <w:bCs/>
          <w:b/>
        </w:rPr>
        <w:t xml:space="preserve">To:</w:t>
      </w:r>
      <w:r>
        <w:t xml:space="preserve">  Executive Steering Committee</w:t>
      </w:r>
      <w:r>
        <w:br/>
      </w:r>
      <w:r>
        <w:rPr>
          <w:bCs/>
          <w:b/>
        </w:rPr>
        <w:t xml:space="preserve">From:</w:t>
      </w:r>
      <w:r>
        <w:t xml:space="preserve">  Project Management Office (PMO)</w:t>
      </w:r>
      <w:r>
        <w:br/>
      </w:r>
      <w:r>
        <w:rPr>
          <w:vertAlign w:val="subscript"/>
        </w:rPr>
        <w:t xml:space="preserve">This document serves as a comprehensive Project Report outlining the strategic deployment of our next-generation Banker infrastructure specifically tailored for the dynamic economic landscape of Saudi Arabia Riyadh.</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details the strategic initiative to deploy advanced automated banking solutions within</w:t>
      </w:r>
      <w:r>
        <w:t xml:space="preserve"> </w:t>
      </w:r>
      <w:r>
        <w:rPr>
          <w:bCs/>
          <w:b/>
        </w:rPr>
        <w:t xml:space="preserve">Saudi Arabia Riyadh</w:t>
      </w:r>
      <w:r>
        <w:t xml:space="preserve">. As the Kingdom accelerates its vision toward Vision 2030, there is an unprecedented demand for efficient, secure, and digitally integrated financial services. The primary objective of this project is to establish a robust operational framework that redefines how modern</w:t>
      </w:r>
      <w:r>
        <w:t xml:space="preserve"> </w:t>
      </w:r>
      <w:r>
        <w:rPr>
          <w:bCs/>
          <w:b/>
        </w:rPr>
        <w:t xml:space="preserve">Banker</w:t>
      </w:r>
      <w:r>
        <w:t xml:space="preserve"> </w:t>
      </w:r>
      <w:r>
        <w:t xml:space="preserve">interactions occur in the region. By leveraging cutting-edge fintech innovations and adhering to strict regulatory compliance standards specific to the Saudi Central Bank (SAMA), we aim to enhance customer experience, streamline transaction processing, and secure a leading market position in the capital city.</w:t>
      </w:r>
    </w:p>
    <w:bookmarkEnd w:id="21"/>
    <w:bookmarkStart w:id="22" w:name="project-background-and-context"/>
    <w:p>
      <w:pPr>
        <w:pStyle w:val="Heading2"/>
      </w:pPr>
      <w:r>
        <w:t xml:space="preserve">2. Project Background and Context</w:t>
      </w:r>
    </w:p>
    <w:p>
      <w:pPr>
        <w:pStyle w:val="FirstParagraph"/>
      </w:pPr>
      <w:r>
        <w:t xml:space="preserve">Riyadh is rapidly transforming into a global hub for finance, technology, and commerce. The demographic shift toward a tech-savvy youth population has necessitated a move away from traditional brick-and-mortar banking models toward seamless digital ecosystems. This</w:t>
      </w:r>
      <w:r>
        <w:t xml:space="preserve"> </w:t>
      </w:r>
      <w:r>
        <w:rPr>
          <w:bCs/>
          <w:b/>
        </w:rPr>
        <w:t xml:space="preserve">Project Report</w:t>
      </w:r>
      <w:r>
        <w:t xml:space="preserve"> </w:t>
      </w:r>
      <w:r>
        <w:t xml:space="preserve">highlights the critical need to adapt our</w:t>
      </w:r>
      <w:r>
        <w:t xml:space="preserve"> </w:t>
      </w:r>
      <w:r>
        <w:rPr>
          <w:bCs/>
          <w:b/>
        </w:rPr>
        <w:t xml:space="preserve">Banker</w:t>
      </w:r>
      <w:r>
        <w:t xml:space="preserve"> </w:t>
      </w:r>
      <w:r>
        <w:t xml:space="preserve">services to meet these evolving expectations. The local market in Saudi Arabia Riyadh is characterized by high smartphone penetration rates and a strong governmental push for cashless transactions. Therefore, integrating AI-driven advisory tools and mobile-first banking interfaces is not merely an option but a strategic imperative for long-term viability.</w:t>
      </w:r>
    </w:p>
    <w:bookmarkEnd w:id="22"/>
    <w:bookmarkStart w:id="23" w:name="strategic-objectives"/>
    <w:p>
      <w:pPr>
        <w:pStyle w:val="Heading2"/>
      </w:pPr>
      <w:r>
        <w:t xml:space="preserve">3. Strategic Objectives</w:t>
      </w:r>
    </w:p>
    <w:p>
      <w:pPr>
        <w:pStyle w:val="FirstParagraph"/>
      </w:pPr>
      <w:r>
        <w:t xml:space="preserve">The core objectives of this initiative are multifaceted, designed to address specific challenges within the</w:t>
      </w:r>
      <w:r>
        <w:t xml:space="preserve"> </w:t>
      </w:r>
      <w:r>
        <w:rPr>
          <w:bCs/>
          <w:b/>
        </w:rPr>
        <w:t xml:space="preserve">Saudi Arabia Riyadh</w:t>
      </w:r>
      <w:r>
        <w:t xml:space="preserve"> </w:t>
      </w:r>
      <w:r>
        <w:t xml:space="preserve">market:</w:t>
      </w:r>
    </w:p>
    <w:p>
      <w:pPr>
        <w:numPr>
          <w:ilvl w:val="0"/>
          <w:numId w:val="1001"/>
        </w:numPr>
        <w:pStyle w:val="Compact"/>
      </w:pPr>
      <w:r>
        <w:rPr>
          <w:bCs/>
          <w:b/>
        </w:rPr>
        <w:t xml:space="preserve">Digital Transformation:</w:t>
      </w:r>
      <w:r>
        <w:t xml:space="preserve">To modernize the</w:t>
      </w:r>
      <w:r>
        <w:t xml:space="preserve"> </w:t>
      </w:r>
      <w:r>
        <w:rPr>
          <w:bCs/>
          <w:b/>
        </w:rPr>
        <w:t xml:space="preserve">Banker</w:t>
      </w:r>
      <w:r>
        <w:t xml:space="preserve">-customer interface by introducing AI-powered chatbots and virtual assistants that provide real-time financial advice.</w:t>
      </w:r>
    </w:p>
    <w:p>
      <w:pPr>
        <w:numPr>
          <w:ilvl w:val="0"/>
          <w:numId w:val="1001"/>
        </w:numPr>
        <w:pStyle w:val="Compact"/>
      </w:pPr>
      <w:r>
        <w:rPr>
          <w:iCs/>
          <w:i/>
        </w:rPr>
        <w:t xml:space="preserve">Cultural Localization:</w:t>
      </w:r>
      <w:r>
        <w:t xml:space="preserve">To ensure all digital platforms fully support Arabic language interfaces and align with Islamic banking principles, ensuring compliance with Shariah law which is paramount in the region.</w:t>
      </w:r>
    </w:p>
    <w:p>
      <w:pPr>
        <w:numPr>
          <w:ilvl w:val="0"/>
          <w:numId w:val="1001"/>
        </w:numPr>
        <w:pStyle w:val="Compact"/>
      </w:pPr>
      <w:r>
        <w:t xml:space="preserve">Enhanced Security Protocols:Implementing biometric authentication and advanced encryption methods to protect user data against emerging cyber threats prevalent in the digital financial sector.</w:t>
      </w:r>
    </w:p>
    <w:p>
      <w:pPr>
        <w:numPr>
          <w:ilvl w:val="0"/>
          <w:numId w:val="1001"/>
        </w:numPr>
        <w:pStyle w:val="Compact"/>
      </w:pPr>
      <w:r>
        <w:t xml:space="preserve">Operational Efficiency:Reducing transaction times and administrative overhead through automated back-end processes, directly benefiting both the institution and customers in Saudi Arabia Riyadh.</w:t>
      </w:r>
    </w:p>
    <w:bookmarkEnd w:id="23"/>
    <w:bookmarkStart w:id="24" w:name="market-analysis-of-saudi-arabia-riyadh"/>
    <w:p>
      <w:pPr>
        <w:pStyle w:val="Heading2"/>
      </w:pPr>
      <w:r>
        <w:t xml:space="preserve">4. Market Analysis of Saudi Arabia Riyadh</w:t>
      </w:r>
    </w:p>
    <w:p>
      <w:pPr>
        <w:pStyle w:val="FirstParagraph"/>
      </w:pPr>
      <w:r>
        <w:t xml:space="preserve">The economic landscape of</w:t>
      </w:r>
      <w:r>
        <w:t xml:space="preserve"> </w:t>
      </w:r>
      <w:r>
        <w:rPr>
          <w:bCs/>
          <w:b/>
        </w:rPr>
        <w:t xml:space="preserve">Saudi Arabia Riyadh</w:t>
      </w:r>
      <w:r>
        <w:t xml:space="preserve"> </w:t>
      </w:r>
      <w:r>
        <w:t xml:space="preserve">presents unique opportunities for banking innovation. The city is home to a diverse expatriate population alongside a rapidly growing local citizenry, creating a hybrid market with varied financial needs. According to recent data, the adoption of digital wallets and mobile banking applications has surged by over forty percent in the last two years. This trend underscores the readiness of consumers in Saudi Arabia Riyadh for advanced</w:t>
      </w:r>
      <w:r>
        <w:t xml:space="preserve"> </w:t>
      </w:r>
      <w:r>
        <w:rPr>
          <w:bCs/>
          <w:b/>
        </w:rPr>
        <w:t xml:space="preserve">Banker</w:t>
      </w:r>
      <w:r>
        <w:t xml:space="preserve"> </w:t>
      </w:r>
      <w:r>
        <w:t xml:space="preserve">technologies.</w:t>
      </w:r>
    </w:p>
    <w:p>
      <w:pPr>
        <w:pStyle w:val="BodyText"/>
      </w:pPr>
      <w:r>
        <w:t xml:space="preserve">Furthermore, competition is intensifying as both traditional banks and non-bank financial technology companies vie for market share. Our project aims to differentiate our</w:t>
      </w:r>
      <w:r>
        <w:t xml:space="preserve"> </w:t>
      </w:r>
      <w:r>
        <w:rPr>
          <w:bCs/>
          <w:b/>
        </w:rPr>
        <w:t xml:space="preserve">Banker</w:t>
      </w:r>
      <w:r>
        <w:t xml:space="preserve">-led services by offering hyper-personalized financial management tools that analyze spending habits in real-time and offer savings strategies tailored to the local cost-of-living index in Riyadh.</w:t>
      </w:r>
    </w:p>
    <w:bookmarkEnd w:id="24"/>
    <w:bookmarkStart w:id="28" w:name="implementation-strategy"/>
    <w:p>
      <w:pPr>
        <w:pStyle w:val="Heading2"/>
      </w:pPr>
      <w:r>
        <w:t xml:space="preserve">5. Implementation Strategy</w:t>
      </w:r>
    </w:p>
    <w:p>
      <w:pPr>
        <w:pStyle w:val="FirstParagraph"/>
      </w:pPr>
      <w:r>
        <w:t xml:space="preserve">The implementation phase of this</w:t>
      </w:r>
      <w:r>
        <w:t xml:space="preserve"> </w:t>
      </w:r>
      <w:r>
        <w:rPr>
          <w:bCs/>
          <w:b/>
        </w:rPr>
        <w:t xml:space="preserve">Banker</w:t>
      </w:r>
      <w:r>
        <w:t xml:space="preserve">-focused project is divided into three distinct stages, each meticulously planned to minimize disruption while maximizing impact in Saudi Arabia Riyadh:</w:t>
      </w:r>
    </w:p>
    <w:bookmarkStart w:id="25" w:name="X1c39810543dad1dac29b41d829768d94a509aa1"/>
    <w:p>
      <w:pPr>
        <w:pStyle w:val="Heading3"/>
      </w:pPr>
      <w:r>
        <w:rPr>
          <w:bCs/>
          <w:b/>
        </w:rPr>
        <w:t xml:space="preserve">a) Phase One: Infrastructure Development and Compliance</w:t>
      </w:r>
    </w:p>
    <w:p>
      <w:pPr>
        <w:pStyle w:val="FirstParagraph"/>
      </w:pPr>
      <w:r>
        <w:t xml:space="preserve">In the initial stage, we will focus on building the technological backbone required for our</w:t>
      </w:r>
      <w:r>
        <w:t xml:space="preserve"> </w:t>
      </w:r>
      <w:r>
        <w:rPr>
          <w:bCs/>
          <w:b/>
        </w:rPr>
        <w:t xml:space="preserve">Banker</w:t>
      </w:r>
      <w:r>
        <w:t xml:space="preserve"> </w:t>
      </w:r>
      <w:r>
        <w:t xml:space="preserve">services. This involves setting up secure cloud servers located within the borders of Saudi Arabia to comply with data sovereignty laws. We will also engage with local regulatory bodies to ensure that our</w:t>
      </w:r>
      <w:r>
        <w:t xml:space="preserve"> </w:t>
      </w:r>
      <w:r>
        <w:rPr>
          <w:bCs/>
          <w:b/>
        </w:rPr>
        <w:t xml:space="preserve">Banker</w:t>
      </w:r>
      <w:r>
        <w:t xml:space="preserve">-led operations strictly adhere to SAMA regulations and Anti-Money Laundering (AML) guidelines.</w:t>
      </w:r>
    </w:p>
    <w:bookmarkEnd w:id="25"/>
    <w:bookmarkStart w:id="26" w:name="Xdcc6e8ca95f914b9c650dce0eb42012cc6d9068"/>
    <w:p>
      <w:pPr>
        <w:pStyle w:val="Heading3"/>
      </w:pPr>
      <w:r>
        <w:rPr>
          <w:bCs/>
          <w:b/>
        </w:rPr>
        <w:t xml:space="preserve">b) Phase Two: Technology Integration and Localization</w:t>
      </w:r>
    </w:p>
    <w:p>
      <w:pPr>
        <w:pStyle w:val="FirstParagraph"/>
      </w:pPr>
      <w:r>
        <w:t xml:space="preserve">This stage involves the integration of our proprietary AI algorithms into the platform. A significant effort will be directed toward localization, ensuring that the user experience resonates with cultural nuances in Saudi Arabia Riyadh. This includes optimizing for right-to-left text formatting and integrating local payment gateways widely used in the region.</w:t>
      </w:r>
    </w:p>
    <w:bookmarkEnd w:id="26"/>
    <w:bookmarkStart w:id="27" w:name="Xd51da718907b221c4e9b1b7788faec320946fb5"/>
    <w:p>
      <w:pPr>
        <w:pStyle w:val="Heading3"/>
      </w:pPr>
      <w:r>
        <w:rPr>
          <w:bCs/>
          <w:b/>
        </w:rPr>
        <w:t xml:space="preserve">c) Phase Three: Pilot Launch and Feedback Loop</w:t>
      </w:r>
    </w:p>
    <w:p>
      <w:pPr>
        <w:pStyle w:val="FirstParagraph"/>
      </w:pPr>
      <w:r>
        <w:t xml:space="preserve">We will launch a pilot program targeting a select group of users in central Riyadh. This allows us to gather real-world feedback on our</w:t>
      </w:r>
      <w:r>
        <w:t xml:space="preserve"> </w:t>
      </w:r>
      <w:r>
        <w:rPr>
          <w:bCs/>
          <w:b/>
        </w:rPr>
        <w:t xml:space="preserve">Banker</w:t>
      </w:r>
      <w:r>
        <w:t xml:space="preserve">-driven features before the full-scale public rollout. The data collected during this phase will be instrumental in refining our algorithms and improving customer support mechanisms.</w:t>
      </w:r>
    </w:p>
    <w:bookmarkEnd w:id="27"/>
    <w:bookmarkEnd w:id="28"/>
    <w:bookmarkStart w:id="29" w:name="risk-management"/>
    <w:p>
      <w:pPr>
        <w:pStyle w:val="Heading2"/>
      </w:pPr>
      <w:r>
        <w:t xml:space="preserve">6. Risk Management</w:t>
      </w:r>
    </w:p>
    <w:p>
      <w:pPr>
        <w:pStyle w:val="FirstParagraph"/>
      </w:pPr>
      <w:r>
        <w:t xml:space="preserve">A comprehensive</w:t>
      </w:r>
      <w:r>
        <w:t xml:space="preserve"> </w:t>
      </w:r>
      <w:r>
        <w:rPr>
          <w:bCs/>
          <w:b/>
        </w:rPr>
        <w:t xml:space="preserve">Project Report</w:t>
      </w:r>
      <w:r>
        <w:t xml:space="preserve">, such as this, must address potential risks. In the context of deploying advanced</w:t>
      </w:r>
      <w:r>
        <w:t xml:space="preserve"> </w:t>
      </w:r>
      <w:r>
        <w:rPr>
          <w:bCs/>
          <w:b/>
        </w:rPr>
        <w:t xml:space="preserve">Banker</w:t>
      </w:r>
      <w:r>
        <w:t xml:space="preserve">-like systems in Saudi Arabia Riyadh, key risks include cybersecurity threats and regulatory changes. To mitigate these, we have established a dedicated security operations center that monitors threats 24/7. Additionally, a legal team specializing in Saudi financial law will continuously review project developments to ensure ongoing compliance.</w:t>
      </w:r>
    </w:p>
    <w:bookmarkEnd w:id="29"/>
    <w:bookmarkStart w:id="30" w:name="financial-projections-and-roi"/>
    <w:p>
      <w:pPr>
        <w:pStyle w:val="Heading2"/>
      </w:pPr>
      <w:r>
        <w:t xml:space="preserve">7. Financial Projections and ROI</w:t>
      </w:r>
    </w:p>
    <w:p>
      <w:pPr>
        <w:pStyle w:val="FirstParagraph"/>
      </w:pPr>
      <w:r>
        <w:t xml:space="preserve">The financial outlook for this project is positive. Initial investment costs are significant due to the high level of technological integration required for our</w:t>
      </w:r>
      <w:r>
        <w:t xml:space="preserve"> </w:t>
      </w:r>
      <w:r>
        <w:rPr>
          <w:bCs/>
          <w:b/>
        </w:rPr>
        <w:t xml:space="preserve">Banker</w:t>
      </w:r>
      <w:r>
        <w:t xml:space="preserve">-led platform. However, we anticipate a break-even point within eighteen months post-launch in Saudi Arabia Riyadh. The reduction in physical branch overheads and the increase in digital transaction volumes are expected to drive substantial profit margins. Furthermore, cross-selling opportunities enabled by our AI-driven</w:t>
      </w:r>
      <w:r>
        <w:t xml:space="preserve"> </w:t>
      </w:r>
      <w:r>
        <w:rPr>
          <w:bCs/>
          <w:b/>
        </w:rPr>
        <w:t xml:space="preserve">Banker</w:t>
      </w:r>
      <w:r>
        <w:t xml:space="preserve"> </w:t>
      </w:r>
      <w:r>
        <w:t xml:space="preserve">insights will provide additional revenue streams.</w:t>
      </w:r>
    </w:p>
    <w:bookmarkEnd w:id="30"/>
    <w:bookmarkStart w:id="31" w:name="conclusion"/>
    <w:p>
      <w:pPr>
        <w:pStyle w:val="Heading2"/>
      </w:pPr>
      <w:r>
        <w:t xml:space="preserve">8. Conclusion</w:t>
      </w:r>
    </w:p>
    <w:p>
      <w:pPr>
        <w:pStyle w:val="FirstParagraph"/>
      </w:pPr>
      <w:r>
        <w:t xml:space="preserve">In conclusion, this</w:t>
      </w:r>
      <w:r>
        <w:t xml:space="preserve"> </w:t>
      </w:r>
      <w:r>
        <w:rPr>
          <w:bCs/>
          <w:b/>
        </w:rPr>
        <w:t xml:space="preserve">Project Report</w:t>
      </w:r>
      <w:r>
        <w:rPr>
          <w:iCs/>
          <w:i/>
        </w:rPr>
        <w:t xml:space="preserve">serves as a roadmap for the successful deployment of next-generation banking solutions in Saudi Arabia Riyadh.</w:t>
      </w:r>
      <w:r>
        <w:t xml:space="preserve">The integration of intelligent, compliant, and user-centric</w:t>
      </w:r>
      <w:r>
        <w:t xml:space="preserve"> </w:t>
      </w:r>
      <w:r>
        <w:rPr>
          <w:bCs/>
          <w:b/>
        </w:rPr>
        <w:t xml:space="preserve">Banker</w:t>
      </w:r>
      <w:r>
        <w:t xml:space="preserve">-led services is essential for meeting the demands of the modern Saudi consumer. By aligning our technological capabilities with the ambitious goals of Vision 2030 and respecting the unique cultural and regulatory environment of</w:t>
      </w:r>
      <w:r>
        <w:t xml:space="preserve"> </w:t>
      </w:r>
      <w:r>
        <w:rPr>
          <w:bCs/>
          <w:b/>
        </w:rPr>
        <w:t xml:space="preserve">Saudi Arabia Riyadh</w:t>
      </w:r>
      <w:r>
        <w:t xml:space="preserve">, we are poised to set a new industry standard. This initiative represents not just a technological upgrade, but a strategic commitment to fostering financial inclusion and prosperity in the Kingdom.</w:t>
      </w:r>
    </w:p>
    <w:bookmarkEnd w:id="31"/>
    <w:bookmarkStart w:id="32" w:name="end-of-document"/>
    <w:p>
      <w:pPr>
        <w:pStyle w:val="Heading2"/>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Saudi Arabia Riyadh</dc:title>
  <dc:creator/>
  <dc:language>en</dc:language>
  <cp:keywords/>
  <dcterms:created xsi:type="dcterms:W3CDTF">2026-07-29T10:37:12Z</dcterms:created>
  <dcterms:modified xsi:type="dcterms:W3CDTF">2026-07-29T10:37:12Z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