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Banker</w:t>
      </w:r>
      <w:r>
        <w:t xml:space="preserve"> </w:t>
      </w:r>
      <w:r>
        <w:t xml:space="preserve">Services</w:t>
      </w:r>
      <w:r>
        <w:t xml:space="preserve"> </w:t>
      </w:r>
      <w:r>
        <w:t xml:space="preserve">in</w:t>
      </w:r>
      <w:r>
        <w:t xml:space="preserve"> </w:t>
      </w:r>
      <w:r>
        <w:t xml:space="preserve">Spain</w:t>
      </w:r>
      <w:r>
        <w:t xml:space="preserve"> </w:t>
      </w:r>
      <w:r>
        <w:t xml:space="preserve">Madrid</w:t>
      </w:r>
    </w:p>
    <w:bookmarkStart w:id="33" w:name="X6534dafdab481b4154d915c8adc88126bc929ed"/>
    <w:p>
      <w:pPr>
        <w:pStyle w:val="Heading1"/>
      </w:pPr>
      <w:r>
        <w:t xml:space="preserve">Project Report: Strategic Implementation of Banker Services in Spain Madrid</w:t>
      </w:r>
    </w:p>
    <w:bookmarkStart w:id="20" w:name="executive-summary"/>
    <w:p>
      <w:pPr>
        <w:pStyle w:val="Heading2"/>
      </w:pPr>
      <w:r>
        <w:t xml:space="preserve">Executive Summary</w:t>
      </w:r>
    </w:p>
    <w:p>
      <w:pPr>
        <w:pStyle w:val="FirstParagraph"/>
      </w:pPr>
      <w:r>
        <w:t xml:space="preserve">This document serves as a comprehensive Project Report detailing the strategic planning, operational framework, and market integration strategies for establishing a robust financial presence under the designation of "Banker" within the dynamic economic hub of Spain Madrid. As Madrid continues to solidify its position as one of Europe’s premier financial centers, understanding the nuances of local banking regulations, cultural expectations regarding fiduciary responsibilities, and digital transformation is paramount. This report outlines how our proposed</w:t>
      </w:r>
      <w:r>
        <w:t xml:space="preserve"> </w:t>
      </w:r>
      <w:r>
        <w:rPr>
          <w:bCs/>
          <w:b/>
        </w:rPr>
        <w:t xml:space="preserve">Banker</w:t>
      </w:r>
      <w:r>
        <w:t xml:space="preserve"> </w:t>
      </w:r>
      <w:r>
        <w:t xml:space="preserve">initiative will navigate the complex regulatory landscape governed by Bank Spain (Banco de España) while catering to the specific needs of clients in</w:t>
      </w:r>
      <w:r>
        <w:t xml:space="preserve"> </w:t>
      </w:r>
      <w:r>
        <w:rPr>
          <w:bCs/>
          <w:b/>
        </w:rPr>
        <w:t xml:space="preserve">Spain Madrid</w:t>
      </w:r>
      <w:r>
        <w:t xml:space="preserve">. The primary objective is to deliver a secure, efficient, and culturally attuned banking experience that bridges traditional trust-based relationships with modern fintech innovations.</w:t>
      </w:r>
    </w:p>
    <w:bookmarkEnd w:id="20"/>
    <w:bookmarkStart w:id="21" w:name="introduction-and-contextual-background"/>
    <w:p>
      <w:pPr>
        <w:pStyle w:val="Heading2"/>
      </w:pPr>
      <w:r>
        <w:t xml:space="preserve">1. Introduction and Contextual Background</w:t>
      </w:r>
    </w:p>
    <w:p>
      <w:pPr>
        <w:pStyle w:val="FirstParagraph"/>
      </w:pPr>
      <w:r>
        <w:t xml:space="preserve">The financial services sector in Europe is undergoing a significant transformation driven by digitalization, regulatory pressure from the European Central Bank (ECB), and changing consumer behaviors. Within this broader context, Madrid stands out as the economic heart of Spain. As the capital city, it hosts numerous multinational corporations, government institutions, and a vibrant startup ecosystem. The concept of a</w:t>
      </w:r>
      <w:r>
        <w:t xml:space="preserve"> </w:t>
      </w:r>
      <w:r>
        <w:rPr>
          <w:bCs/>
          <w:b/>
        </w:rPr>
        <w:t xml:space="preserve">Banker</w:t>
      </w:r>
      <w:r>
        <w:t xml:space="preserve"> </w:t>
      </w:r>
      <w:r>
        <w:t xml:space="preserve">in this era extends beyond simple transactional processing; it now encompasses wealth management, sustainable finance (ESG), and personalized advisory services.</w:t>
      </w:r>
    </w:p>
    <w:p>
      <w:pPr>
        <w:pStyle w:val="BodyText"/>
      </w:pPr>
      <w:r>
        <w:t xml:space="preserve">This Project Report aims to define the operational scope for introducing specialized banking services tailored specifically to the demographic and business profile of residents and enterprises in</w:t>
      </w:r>
      <w:r>
        <w:t xml:space="preserve"> </w:t>
      </w:r>
      <w:r>
        <w:rPr>
          <w:bCs/>
          <w:b/>
        </w:rPr>
        <w:t xml:space="preserve">Spain Madrid</w:t>
      </w:r>
      <w:r>
        <w:t xml:space="preserve">. The local market is characterized by a high demand for security, yet there is an increasing appetite among younger demographics for seamless, app-based financial solutions. Furthermore, small and medium-sized enterprises (SMEs), which form the backbone of the Spanish economy, require agile credit facilities and international trade support. Our project addresses these gaps by positioning our</w:t>
      </w:r>
      <w:r>
        <w:t xml:space="preserve"> </w:t>
      </w:r>
      <w:r>
        <w:rPr>
          <w:bCs/>
          <w:b/>
        </w:rPr>
        <w:t xml:space="preserve">Banker</w:t>
      </w:r>
      <w:r>
        <w:t xml:space="preserve"> </w:t>
      </w:r>
      <w:r>
        <w:t xml:space="preserve">service as a hybrid model that combines the reliability of traditional banking with the agility of neobanking platforms.</w:t>
      </w:r>
    </w:p>
    <w:bookmarkEnd w:id="21"/>
    <w:bookmarkStart w:id="24" w:name="X62339fca959f6cc71e7cd68f49fc2962755eb3f"/>
    <w:p>
      <w:pPr>
        <w:pStyle w:val="Heading2"/>
      </w:pPr>
      <w:r>
        <w:t xml:space="preserve">2. Regulatory Compliance and Legal Framework in Spain Madrid</w:t>
      </w:r>
    </w:p>
    <w:p>
      <w:pPr>
        <w:pStyle w:val="FirstParagraph"/>
      </w:pPr>
      <w:r>
        <w:t xml:space="preserve">Navigating the legal environment is critical for any financial project operating in Europe. In this Project Report, we emphasize strict adherence to the regulations set forth by Bank Spain (</w:t>
      </w:r>
      <w:r>
        <w:rPr>
          <w:iCs/>
          <w:i/>
        </w:rPr>
        <w:t xml:space="preserve">Banco de España</w:t>
      </w:r>
      <w:r>
        <w:t xml:space="preserve">) and compliance with European Union directives such as PSD2 (Payment Services Directive 2) and GDPR (General Data Protection Regulation).</w:t>
      </w:r>
    </w:p>
    <w:bookmarkStart w:id="22" w:name="licensing-requirements"/>
    <w:p>
      <w:pPr>
        <w:pStyle w:val="Heading3"/>
      </w:pPr>
      <w:r>
        <w:t xml:space="preserve">2.1 Licensing Requirements</w:t>
      </w:r>
    </w:p>
    <w:p>
      <w:pPr>
        <w:pStyle w:val="FirstParagraph"/>
      </w:pPr>
      <w:r>
        <w:t xml:space="preserve">To operate legally as a recognized financial entity or partner bank in Madrid, we must secure the necessary authorization from the supervisory authorities. This involves rigorous capital adequacy requirements and proof of fit-and-proper status for all senior management roles. The Project Report highlights that establishing our headquarters in key business districts such as Cuatro Torres Business Area ensures proximity to regulators and major corporate clients.</w:t>
      </w:r>
    </w:p>
    <w:bookmarkEnd w:id="22"/>
    <w:bookmarkStart w:id="23" w:name="anti-money-laundering-aml-protocols"/>
    <w:p>
      <w:pPr>
        <w:pStyle w:val="Heading3"/>
      </w:pPr>
      <w:r>
        <w:t xml:space="preserve">2.2 Anti-Money Laundering (AML) Protocols</w:t>
      </w:r>
    </w:p>
    <w:p>
      <w:pPr>
        <w:pStyle w:val="FirstParagraph"/>
      </w:pPr>
      <w:r>
        <w:t xml:space="preserve">Spain has tightened its AML frameworks in recent years. Our</w:t>
      </w:r>
      <w:r>
        <w:t xml:space="preserve"> </w:t>
      </w:r>
      <w:r>
        <w:rPr>
          <w:bCs/>
          <w:b/>
        </w:rPr>
        <w:t xml:space="preserve">Banker</w:t>
      </w:r>
      <w:r>
        <w:t xml:space="preserve"> </w:t>
      </w:r>
      <w:r>
        <w:t xml:space="preserve">service will implement state-of-the-art Know Your Customer (KYC) procedures using biometric verification and artificial intelligence-driven monitoring systems. This ensures that all transactions within</w:t>
      </w:r>
      <w:r>
        <w:t xml:space="preserve"> </w:t>
      </w:r>
      <w:r>
        <w:rPr>
          <w:bCs/>
          <w:b/>
        </w:rPr>
        <w:t xml:space="preserve">Spain Madrid</w:t>
      </w:r>
      <w:r>
        <w:t xml:space="preserve">, whether local or cross-border, are scrutinized for illicit activities, thereby protecting the integrity of the financial system.</w:t>
      </w:r>
    </w:p>
    <w:bookmarkEnd w:id="23"/>
    <w:bookmarkEnd w:id="24"/>
    <w:p>
      <w:pPr>
        <w:pStyle w:val="BodyText"/>
      </w:pPr>
      <w:r>
        <w:rPr>
          <w:bCs/>
          <w:b/>
        </w:rPr>
        <w:t xml:space="preserve">Critical Aspect:</w:t>
      </w:r>
      <w:r>
        <w:t xml:space="preserve"> </w:t>
      </w:r>
      <w:r>
        <w:t xml:space="preserve">The reputation of a modern Banker is heavily dependent on transparency and compliance. In Madrid’s competitive market, failure to adhere strictly to local regulations can result in severe penalties and loss of public trust. Therefore, this Project Report mandates the appointment of a Chief Compliance Officer based in Madrid who reports directly to the board.</w:t>
      </w:r>
    </w:p>
    <w:bookmarkStart w:id="27" w:name="X068530311736587b2263a5778f9d82c5b62e81f"/>
    <w:p>
      <w:pPr>
        <w:pStyle w:val="Heading2"/>
      </w:pPr>
      <w:r>
        <w:t xml:space="preserve">3. Market Analysis: The Madrid Economic Ecosystem</w:t>
      </w:r>
    </w:p>
    <w:p>
      <w:pPr>
        <w:pStyle w:val="FirstParagraph"/>
      </w:pPr>
      <w:r>
        <w:t xml:space="preserve">To succeed, our banking initiative must be deeply rooted in the local economy. This section of the Project Report analyzes the unique characteristics of clients in Spain Madrid.</w:t>
      </w:r>
    </w:p>
    <w:bookmarkStart w:id="25" w:name="demographic-trends"/>
    <w:p>
      <w:pPr>
        <w:pStyle w:val="Heading3"/>
      </w:pPr>
      <w:r>
        <w:t xml:space="preserve">3.1 Demographic Trends</w:t>
      </w:r>
    </w:p>
    <w:p>
      <w:pPr>
        <w:pStyle w:val="FirstParagraph"/>
      </w:pPr>
      <w:r>
        <w:t xml:space="preserve">Madrid has a diverse population with a significant influx of international talent and expatriates due to its status as a global hub. Consequently, our Banker services will offer multi-language support (Spanish, English, French, and German) and cross-border currency exchange capabilities. There is also a growing elderly population that prefers face-to-face interactions; thus, our strategy includes maintaining a network of physical branches in central districts like Salamanca and Chamberí to serve this segment.</w:t>
      </w:r>
    </w:p>
    <w:bookmarkEnd w:id="25"/>
    <w:bookmarkStart w:id="26" w:name="sme-support"/>
    <w:p>
      <w:pPr>
        <w:pStyle w:val="Heading3"/>
      </w:pPr>
      <w:r>
        <w:t xml:space="preserve">3.2 SME Support</w:t>
      </w:r>
    </w:p>
    <w:p>
      <w:pPr>
        <w:pStyle w:val="FirstParagraph"/>
      </w:pPr>
      <w:r>
        <w:t xml:space="preserve">SMEs contribute significantly to employment in Madrid. Traditional banks have often been criticized for being slow in processing loans for these entities. Our Project Report proposes a specialized "Madrid SME Accelerator" program, offering streamlined digital applications and rapid decision-making algorithms for credit assessments. This positions our Banker service as a partner in growth rather than just a lender.</w:t>
      </w:r>
    </w:p>
    <w:bookmarkEnd w:id="26"/>
    <w:bookmarkEnd w:id="27"/>
    <w:bookmarkStart w:id="30" w:name="X157c11a38fa4de0735e3343eded02173f78caa4"/>
    <w:p>
      <w:pPr>
        <w:pStyle w:val="Heading2"/>
      </w:pPr>
      <w:r>
        <w:t xml:space="preserve">4. Operational Strategy and Technology Infrastructure</w:t>
      </w:r>
    </w:p>
    <w:p>
      <w:pPr>
        <w:pStyle w:val="FirstParagraph"/>
      </w:pPr>
      <w:r>
        <w:t xml:space="preserve">The core of this Project Report focuses on delivering a superior customer experience through technological innovation while maintaining operational efficiency in Spain Madrid.</w:t>
      </w:r>
    </w:p>
    <w:bookmarkStart w:id="28" w:name="digital-first-approach"/>
    <w:p>
      <w:pPr>
        <w:pStyle w:val="Heading3"/>
      </w:pPr>
      <w:r>
        <w:t xml:space="preserve">4.1 Digital-First Approach</w:t>
      </w:r>
    </w:p>
    <w:p>
      <w:pPr>
        <w:pStyle w:val="FirstParagraph"/>
      </w:pPr>
      <w:r>
        <w:t xml:space="preserve">We will deploy a proprietary mobile banking application designed with user-centric principles. Features include instant account opening, real-time expense tracking, and integrated tax reporting tools that align with the Spanish tax agency (Hacienda) requirements. For our Banker advisory team, we will utilize advanced CRM systems to track client life events and offer proactive financial advice.</w:t>
      </w:r>
    </w:p>
    <w:bookmarkEnd w:id="28"/>
    <w:bookmarkStart w:id="29" w:name="cybersecurity-measures"/>
    <w:p>
      <w:pPr>
        <w:pStyle w:val="Heading3"/>
      </w:pPr>
      <w:r>
        <w:t xml:space="preserve">4.2 Cybersecurity Measures</w:t>
      </w:r>
    </w:p>
    <w:p>
      <w:pPr>
        <w:pStyle w:val="FirstParagraph"/>
      </w:pPr>
      <w:r>
        <w:t xml:space="preserve">In an era of increasing cyber threats, security is non-negotiable. The infrastructure hosting our services in Madrid will be located within compliant data centers in Europe. We will employ end-to-end encryption, multi-factor authentication (MFA), and regular penetration testing to safeguard client assets and personal data.</w:t>
      </w:r>
    </w:p>
    <w:bookmarkEnd w:id="29"/>
    <w:bookmarkEnd w:id="30"/>
    <w:bookmarkStart w:id="31" w:name="risk-management-and-mitigation"/>
    <w:p>
      <w:pPr>
        <w:pStyle w:val="Heading2"/>
      </w:pPr>
      <w:r>
        <w:t xml:space="preserve">5. Risk Management and Mitigation</w:t>
      </w:r>
    </w:p>
    <w:p>
      <w:pPr>
        <w:pStyle w:val="FirstParagraph"/>
      </w:pPr>
      <w:r>
        <w:t xml:space="preserve">A comprehensive Project Report must address potential risks. In the context of operating a Banker service in Spain Madrid, key risks include:</w:t>
      </w:r>
    </w:p>
    <w:p>
      <w:pPr>
        <w:numPr>
          <w:ilvl w:val="0"/>
          <w:numId w:val="1001"/>
        </w:numPr>
        <w:pStyle w:val="Compact"/>
      </w:pPr>
      <w:r>
        <w:rPr>
          <w:bCs/>
          <w:b/>
        </w:rPr>
        <w:t xml:space="preserve">Regulatory Changes:</w:t>
      </w:r>
      <w:r>
        <w:t xml:space="preserve"> </w:t>
      </w:r>
      <w:r>
        <w:t xml:space="preserve">Continuous monitoring of EU and national policy shifts.</w:t>
      </w:r>
    </w:p>
    <w:p>
      <w:pPr>
        <w:numPr>
          <w:ilvl w:val="0"/>
          <w:numId w:val="1001"/>
        </w:numPr>
        <w:pStyle w:val="Compact"/>
      </w:pPr>
      <w:r>
        <w:rPr>
          <w:bCs/>
          <w:b/>
        </w:rPr>
        <w:t xml:space="preserve">Economic Volatility:</w:t>
      </w:r>
    </w:p>
    <w:p>
      <w:pPr>
        <w:numPr>
          <w:ilvl w:val="0"/>
          <w:numId w:val="1001"/>
        </w:numPr>
        <w:pStyle w:val="Compact"/>
      </w:pPr>
      <w:r>
        <w:rPr>
          <w:bCs/>
          <w:b/>
        </w:rPr>
        <w:t xml:space="preserve">Cultural Misalignment:</w:t>
      </w:r>
    </w:p>
    <w:p>
      <w:pPr>
        <w:numPr>
          <w:ilvl w:val="0"/>
          <w:numId w:val="1000"/>
        </w:numPr>
        <w:pStyle w:val="Compact"/>
      </w:pPr>
      <w:r>
        <w:t xml:space="preserve">To address this, we will conduct extensive market research in Madrid prior to full launch and employ local staff who understand the cultural nuances of Spanish business etiquette.</w:t>
      </w:r>
    </w:p>
    <w:bookmarkEnd w:id="31"/>
    <w:bookmarkStart w:id="32" w:name="conclusion-and-future-outlook"/>
    <w:p>
      <w:pPr>
        <w:pStyle w:val="Heading2"/>
      </w:pPr>
      <w:r>
        <w:t xml:space="preserve">6. Conclusion and Future Outlook</w:t>
      </w:r>
    </w:p>
    <w:p>
      <w:pPr>
        <w:pStyle w:val="FirstParagraph"/>
      </w:pPr>
      <w:r>
        <w:t xml:space="preserve">This Project Report concludes that there is a viable and lucrative opportunity to establish a modern, compliant, and customer-centric Banker service in Spain Madrid. By respecting the traditional values of trust inherent in Spanish banking culture while leveraging cutting-edge technology, we can capture significant market share. The success of this project hinges on our ability to adapt quickly to local needs while maintaining rigorous international standards.</w:t>
      </w:r>
    </w:p>
    <w:p>
      <w:pPr>
        <w:pStyle w:val="BodyText"/>
      </w:pPr>
      <w:r>
        <w:t xml:space="preserve">Looking ahead, we anticipate expanding our footprint in</w:t>
      </w:r>
      <w:r>
        <w:t xml:space="preserve"> </w:t>
      </w:r>
      <w:r>
        <w:rPr>
          <w:bCs/>
          <w:b/>
        </w:rPr>
        <w:t xml:space="preserve">Spain Madrid</w:t>
      </w:r>
      <w:r>
        <w:t xml:space="preserve"> </w:t>
      </w:r>
      <w:r>
        <w:t xml:space="preserve">through strategic partnerships with local fintechs and real estate firms. This initiative will not only enhance financial inclusion but also contribute positively to the economic vitality of the region. We recommend proceeding with Phase 1 implementation immediately, focusing on regulatory licensing and technology stack development.</w:t>
      </w:r>
    </w:p>
    <w:bookmarkEnd w:id="32"/>
    <w:p>
      <w:pPr>
        <w:pStyle w:val="BodyText"/>
      </w:pPr>
      <w:r>
        <w:rPr>
          <w:iCs/>
          <w:i/>
        </w:rPr>
        <w:t xml:space="preserve">Document prepared for internal review and stakeholder approval. All references to "Banker", "Spain Madrid", and specific Project Report methodologies are proprietary.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Banker Services in Spain Madrid</dc:title>
  <dc:creator/>
  <dc:language>en</dc:language>
  <cp:keywords/>
  <dcterms:created xsi:type="dcterms:W3CDTF">2026-07-29T08:39:50Z</dcterms:created>
  <dcterms:modified xsi:type="dcterms:W3CDTF">2026-07-29T08:39:50Z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