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Banker</w:t>
      </w:r>
      <w:r>
        <w:t xml:space="preserve"> </w:t>
      </w:r>
      <w:r>
        <w:t xml:space="preserve">Project</w:t>
      </w:r>
      <w:r>
        <w:t xml:space="preserve"> </w:t>
      </w:r>
      <w:r>
        <w:t xml:space="preserve">Report</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42" w:name="X9c6eecf05f9e4afb6604129c588669b0044dc5c"/>
    <w:p>
      <w:pPr>
        <w:pStyle w:val="Heading1"/>
      </w:pPr>
      <w:r>
        <w:t xml:space="preserve">Banker Project Report: Strategic Implementation in the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r>
        <w:rPr>
          <w:bCs/>
          <w:b/>
        </w:rPr>
        <w:t xml:space="preserve">From:</w:t>
      </w:r>
      <w:r>
        <w:t xml:space="preserve"> </w:t>
      </w:r>
      <w:r>
        <w:t xml:space="preserve">Project Strategy Office</w:t>
      </w:r>
      <w:r>
        <w:br/>
      </w:r>
    </w:p>
    <w:bookmarkStart w:id="21" w:name="section"/>
    <w:p>
      <w:pPr>
        <w:pStyle w:val="Heading2"/>
      </w:pPr>
      <w:bookmarkStart w:id="20" w:name="introduction"/>
      <w:bookmarkEnd w:id="20"/>
    </w:p>
    <w:p>
      <w:pPr>
        <w:pStyle w:val="FirstParagraph"/>
      </w:pPr>
      <w:r>
        <w:t xml:space="preserve">This document serves as a comprehensive Banker Project Report designed to outline the strategic framework, operational objectives, and market integration strategies for our banking initiative. The primary focus of this report is the establishment and expansion of services within the United Arab Emirates Abu Dhabi jurisdiction. As a global financial hub, Abu Dhabi offers unique opportunities for innovation in digital banking and customer experience. This Banker Project Report details how we will leverage local regulations while maintaining international standards to deliver superior value to our stakeholders.</w:t>
      </w:r>
    </w:p>
    <w:bookmarkEnd w:id="21"/>
    <w:bookmarkStart w:id="23" w:name="section-1"/>
    <w:p>
      <w:pPr>
        <w:pStyle w:val="Heading2"/>
      </w:pPr>
      <w:bookmarkStart w:id="22" w:name="executive-summary"/>
      <w:bookmarkEnd w:id="22"/>
    </w:p>
    <w:p>
      <w:pPr>
        <w:pStyle w:val="FirstParagraph"/>
      </w:pPr>
      <w:r>
        <w:t xml:space="preserve">The executive summary of this Banker Project Report highlights the critical importance of aligning our operational model with the economic vision of the United Arab Emirates Abu Dhabi. The initiative aims to revolutionize traditional banking by introducing AI-driven personal finance management tools and seamless digital onboarding processes. By focusing on the United Arab Emirates Abu Dhabi market, we address a demographic that is increasingly tech-savvy and demands high-speed, secure financial services. This Banker Project Report confirms that the timing is optimal for entry, given the region's push towards diversification away from oil dependency.</w:t>
      </w:r>
    </w:p>
    <w:bookmarkEnd w:id="23"/>
    <w:bookmarkStart w:id="27" w:name="section-2"/>
    <w:p>
      <w:pPr>
        <w:pStyle w:val="Heading2"/>
      </w:pPr>
      <w:bookmarkStart w:id="24" w:name="market-analysis"/>
      <w:bookmarkEnd w:id="24"/>
    </w:p>
    <w:bookmarkStart w:id="25" w:name="economic-landscape-of-abu-dhabi"/>
    <w:p>
      <w:pPr>
        <w:pStyle w:val="Heading3"/>
      </w:pPr>
      <w:r>
        <w:t xml:space="preserve">1.1 Economic Landscape of Abu Dhabi</w:t>
      </w:r>
    </w:p>
    <w:p>
      <w:pPr>
        <w:pStyle w:val="FirstParagraph"/>
      </w:pPr>
      <w:r>
        <w:t xml:space="preserve">The United Arab Emirates Abu Dhabi economy has demonstrated remarkable resilience and growth in recent years. The Emirate is actively investing in sectors such as renewable energy, tourism, and financial services. For the Banker Project Report analysis, it is crucial to note that the regulatory environment in Abu Dhabi is robust yet supportive of fintech innovations. The Central Bank of the United Arab Emirates has implemented clear guidelines that facilitate digital transformation while ensuring strict compliance with anti-money laundering (AML) and counter-terrorism financing (CTF) protocols.</w:t>
      </w:r>
    </w:p>
    <w:bookmarkEnd w:id="25"/>
    <w:bookmarkStart w:id="26" w:name="competitive-analysis"/>
    <w:p>
      <w:pPr>
        <w:pStyle w:val="Heading3"/>
      </w:pPr>
      <w:r>
        <w:t xml:space="preserve">1.2 Competitive Analysis</w:t>
      </w:r>
    </w:p>
    <w:p>
      <w:pPr>
        <w:pStyle w:val="FirstParagraph"/>
      </w:pPr>
      <w:r>
        <w:t xml:space="preserve">In assessing the competitive landscape within the United Arab Emirates Abu Dhabi, we identified several key players, including traditional banks and emerging fintech startups. Our Banker Project Report indicates that while competition is fierce, there is a significant gap in personalized, data-driven banking solutions for mid-tier businesses and high-net-worth individuals. The "Banker" initiative distinguishes itself by offering a hybrid model that combines the trust of traditional banking with the agility of digital-only platforms.</w:t>
      </w:r>
    </w:p>
    <w:bookmarkEnd w:id="26"/>
    <w:bookmarkEnd w:id="27"/>
    <w:bookmarkStart w:id="31" w:name="section-3"/>
    <w:p>
      <w:pPr>
        <w:pStyle w:val="Heading2"/>
      </w:pPr>
      <w:bookmarkStart w:id="28" w:name="project-objectives"/>
      <w:bookmarkEnd w:id="28"/>
    </w:p>
    <w:bookmarkStart w:id="30" w:name="core-objectives"/>
    <w:p>
      <w:pPr>
        <w:pStyle w:val="Heading3"/>
      </w:pPr>
      <w:r>
        <w:t xml:space="preserve">2.1 Core Objectives</w:t>
      </w:r>
    </w:p>
    <w:p>
      <w:pPr>
        <w:pStyle w:val="FirstParagraph"/>
      </w:pPr>
      <w:r>
        <w:t xml:space="preserve">The primary objectives outlined in this Banker Project Report are as follows:</w:t>
      </w:r>
    </w:p>
    <w:p>
      <w:pPr>
        <w:numPr>
          <w:ilvl w:val="0"/>
          <w:numId w:val="1001"/>
        </w:numPr>
        <w:pStyle w:val="Compact"/>
      </w:pPr>
      <w:r>
        <w:t xml:space="preserve">To establish a fully compliant banking platform within the United Arab Emirates Abu Dhabi jurisdiction by Q4 2024.</w:t>
      </w:r>
    </w:p>
    <w:p>
      <w:pPr>
        <w:numPr>
          <w:ilvl w:val="0"/>
          <w:numId w:val="1001"/>
        </w:numPr>
        <w:pStyle w:val="Compact"/>
      </w:pPr>
      <w:r>
        <w:t xml:space="preserve">To onboard 50,000 active users within the first year of operation in Abu Dhabi.</w:t>
      </w:r>
    </w:p>
    <w:p>
      <w:pPr>
        <w:numPr>
          <w:ilvl w:val="0"/>
          <w:numId w:val="1001"/>
        </w:numPr>
        <w:pStyle w:val="Compact"/>
      </w:pPr>
      <w:r>
        <w:t xml:space="preserve">To achieve a customer satisfaction score of over 90% as measured by Net Promoter Score (NPS).</w:t>
      </w:r>
    </w:p>
    <w:p>
      <w:pPr>
        <w:numPr>
          <w:ilvl w:val="0"/>
          <w:numId w:val="1001"/>
        </w:numPr>
        <w:pStyle w:val="Compact"/>
      </w:pPr>
      <w:r>
        <w:t xml:space="preserve">To integrate seamlessly with local payment systems such as UnionPay and local card schemes prevalent in the United Arab Emirates Abu Dhabi.</w:t>
      </w:r>
    </w:p>
    <w:p>
      <w:pPr>
        <w:pStyle w:val="FirstParagraph"/>
      </w:pPr>
      <w:bookmarkStart w:id="29" w:name="strategic-alignment"/>
      <w:bookmarkEnd w:id="29"/>
    </w:p>
    <w:p>
      <w:pPr>
        <w:pStyle w:val="BodyText"/>
      </w:pPr>
      <w:r>
        <w:t xml:space="preserve">A key component of this Banker Project Report is the strategic alignment with "Abu Dhabi Economic Vision 2030." By supporting local businesses and promoting financial inclusion, our project contributes directly to the broader economic goals of the United Arab Emirates Abu Dhabi. This alignment not only enhances our corporate social responsibility profile but also facilitates smoother interactions with regulatory bodies.</w:t>
      </w:r>
    </w:p>
    <w:bookmarkEnd w:id="30"/>
    <w:bookmarkEnd w:id="31"/>
    <w:bookmarkStart w:id="35" w:name="section-4"/>
    <w:p>
      <w:pPr>
        <w:pStyle w:val="Heading2"/>
      </w:pPr>
      <w:bookmarkStart w:id="32" w:name="operational-framework"/>
      <w:bookmarkEnd w:id="32"/>
    </w:p>
    <w:bookmarkStart w:id="34" w:name="technology-infrastructure"/>
    <w:p>
      <w:pPr>
        <w:pStyle w:val="Heading3"/>
      </w:pPr>
      <w:r>
        <w:t xml:space="preserve">3.1 Technology Infrastructure</w:t>
      </w:r>
    </w:p>
    <w:p>
      <w:pPr>
        <w:pStyle w:val="FirstParagraph"/>
      </w:pPr>
      <w:r>
        <w:t xml:space="preserve">The technological backbone of the Banker Project Report relies on a cloud-native architecture designed for scalability and security. Given the stringent data sovereignty laws in the United Arab Emirates Abu Dhabi, all customer data will be stored within local data centers or in compliant international facilities approved by local authorities. The use of blockchain technology for secure transaction verification is also proposed to enhance transparency and reduce fraud.</w:t>
      </w:r>
    </w:p>
    <w:p>
      <w:pPr>
        <w:pStyle w:val="BodyText"/>
      </w:pPr>
      <w:bookmarkStart w:id="33" w:name="regulatory-compliance"/>
      <w:bookmarkEnd w:id="33"/>
    </w:p>
    <w:p>
      <w:pPr>
        <w:pStyle w:val="BodyText"/>
      </w:pPr>
      <w:r>
        <w:t xml:space="preserve">Compliance is a cornerstone of this Banker Project Report. We have engaged with legal experts specializing in United Arab Emirates Abu Dhabi banking laws to ensure that all operational procedures meet or exceed regulatory requirements. This includes rigorous Know Your Customer (KYC) processes, real-time transaction monitoring, and regular audits to maintain adherence to Central Bank of the United Arab Emirates standards.</w:t>
      </w:r>
    </w:p>
    <w:bookmarkEnd w:id="34"/>
    <w:bookmarkEnd w:id="35"/>
    <w:bookmarkStart w:id="39" w:name="section-5"/>
    <w:p>
      <w:pPr>
        <w:pStyle w:val="Heading2"/>
      </w:pPr>
      <w:bookmarkStart w:id="36" w:name="risk-management"/>
      <w:bookmarkEnd w:id="36"/>
    </w:p>
    <w:bookmarkStart w:id="38" w:name="risk-assessment"/>
    <w:p>
      <w:pPr>
        <w:pStyle w:val="Heading3"/>
      </w:pPr>
      <w:r>
        <w:t xml:space="preserve">4.1 Risk Assessment</w:t>
      </w:r>
    </w:p>
    <w:p>
      <w:pPr>
        <w:pStyle w:val="FirstParagraph"/>
      </w:pPr>
      <w:r>
        <w:t xml:space="preserve">Risk management is integral to any Banker Project Report. The primary risks identified include regulatory changes, cyber threats, and market volatility. To mitigate these risks, we have established a dedicated risk management committee that operates under the oversight of the project steering group in Abu Dhabi. Additionally, robust cybersecurity measures, including multi-factor authentication and end-to-end encryption, are implemented to protect customer assets.</w:t>
      </w:r>
    </w:p>
    <w:p>
      <w:pPr>
        <w:pStyle w:val="BodyText"/>
      </w:pPr>
      <w:bookmarkStart w:id="37" w:name="mitigation-strategies"/>
      <w:bookmarkEnd w:id="37"/>
    </w:p>
    <w:p>
      <w:pPr>
        <w:pStyle w:val="BodyText"/>
      </w:pPr>
      <w:r>
        <w:t xml:space="preserve">Market volatility is mitigated through diversified investment portfolios offered within our banking platform. Furthermore, continuous monitoring of regulatory updates in the United Arab Emirates Abu Dhabi ensures that our compliance framework remains up-to-date. This proactive approach minimizes the potential for operational disruptions and maintains stakeholder confidence.</w:t>
      </w:r>
    </w:p>
    <w:bookmarkEnd w:id="38"/>
    <w:bookmarkEnd w:id="39"/>
    <w:bookmarkStart w:id="41" w:name="section-6"/>
    <w:p>
      <w:pPr>
        <w:pStyle w:val="Heading2"/>
      </w:pPr>
      <w:bookmarkStart w:id="40" w:name="conclusion"/>
      <w:bookmarkEnd w:id="40"/>
    </w:p>
    <w:p>
      <w:pPr>
        <w:pStyle w:val="FirstParagraph"/>
      </w:pPr>
      <w:r>
        <w:t xml:space="preserve">In conclusion, this Banker Project Report demonstrates that launching a modern banking initiative in the United Arab Emirates Abu Dhabi is both strategically sound and financially viable. The region's supportive regulatory environment, coupled with a growing demand for digital financial services, provides an ideal backdrop for our "Banker" project. By adhering to the objectives outlined in this report and maintaining strict compliance with local laws, we are well-positioned to capture significant market share and deliver exceptional value to customers in Abu Dhabi.</w:t>
      </w:r>
    </w:p>
    <w:p>
      <w:pPr>
        <w:pStyle w:val="BodyText"/>
      </w:pPr>
      <w:r>
        <w:t xml:space="preserve">We recommend proceeding with Phase 1 of the implementation plan immediately, focusing on infrastructure setup and regulatory approvals. Continuous evaluation against the milestones defined in this Banker Project Report will be essential for tracking progress and ensuring alignment with the dynamic economic landscape of the United Arab Emirates Abu Dhabi.</w:t>
      </w:r>
    </w:p>
    <w:p>
      <w:pPr>
        <w:pStyle w:val="BodyText"/>
      </w:pPr>
      <w:r>
        <w:rPr>
          <w:iCs/>
          <w:i/>
        </w:rPr>
        <w:t xml:space="preserve">This document is confidential and intended solely for internal use by stakeholders involved in the United Arab Emirates Abu Dhabi banking project.</w:t>
      </w:r>
    </w:p>
    <w:p>
      <w:pPr>
        <w:pStyle w:val="BodyText"/>
      </w:pPr>
      <w:r>
        <w:t xml:space="preserve">```</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Banker Project Report - United Arab Emirates Abu Dhabi</dc:title>
  <dc:creator/>
  <dc:language>en</dc:language>
  <cp:keywords/>
  <dcterms:created xsi:type="dcterms:W3CDTF">2026-07-29T20:58:38Z</dcterms:created>
  <dcterms:modified xsi:type="dcterms:W3CDTF">2026-07-29T20:58:38Z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