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Banking</w:t>
      </w:r>
      <w:r>
        <w:t xml:space="preserve"> </w:t>
      </w:r>
      <w:r>
        <w:t xml:space="preserve">Initiatives</w:t>
      </w:r>
      <w:r>
        <w:t xml:space="preserve"> </w:t>
      </w:r>
      <w:r>
        <w:t xml:space="preserve">in</w:t>
      </w:r>
      <w:r>
        <w:t xml:space="preserve"> </w:t>
      </w:r>
      <w:r>
        <w:t xml:space="preserve">United</w:t>
      </w:r>
      <w:r>
        <w:t xml:space="preserve"> </w:t>
      </w:r>
      <w:r>
        <w:t xml:space="preserve">States</w:t>
      </w:r>
      <w:r>
        <w:t xml:space="preserve"> </w:t>
      </w:r>
      <w:r>
        <w:t xml:space="preserve">Miami</w:t>
      </w:r>
    </w:p>
    <w:bookmarkStart w:id="33" w:name="Xe5947cb517426d7e501c6038b3f76cdf8ea6733"/>
    <w:p>
      <w:pPr>
        <w:pStyle w:val="Heading1"/>
      </w:pPr>
      <w:r>
        <w:t xml:space="preserve">Project Report: Strategic Expansion and Optimization of Banker Services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rPr>
          <w:bCs/>
          <w:b/>
        </w:rPr>
        <w:t xml:space="preserve">From:</w:t>
      </w:r>
      <w:r>
        <w:t xml:space="preserve"> </w:t>
      </w:r>
      <w:r>
        <w:t xml:space="preserve">Strategic Planning Department</w:t>
      </w:r>
      <w:r>
        <w:br/>
      </w:r>
      <w:r>
        <w:rPr>
          <w:iCs/>
          <w:i/>
        </w:rPr>
        <w:t xml:space="preserve">This document outlines the comprehensive strategy, operational challenges, and growth opportunities associated with deploying a specialized Banker role within the dynamic financial landscape of United States Miami.</w:t>
      </w:r>
      <w:r>
        <w:t xml:space="preserve">.</w:t>
      </w:r>
    </w:p>
    <w:bookmarkStart w:id="20" w:name="executive-summary"/>
    <w:p>
      <w:pPr>
        <w:pStyle w:val="Heading2"/>
      </w:pPr>
      <w:r>
        <w:t xml:space="preserve">1. Executive Summary</w:t>
      </w:r>
    </w:p>
    <w:p>
      <w:pPr>
        <w:pStyle w:val="FirstParagraph"/>
      </w:pPr>
      <w:r>
        <w:t xml:space="preserve">The objective of this project report is to analyze the feasibility and strategic implementation of enhancing our banking services specifically tailored for the unique demographic and economic characteristics of United States Miami. As a critical hub for international finance, tourism, and real estate in the southeastern region of the</w:t>
      </w:r>
      <w:r>
        <w:t xml:space="preserve"> </w:t>
      </w:r>
      <w:r>
        <w:rPr>
          <w:bCs/>
          <w:b/>
        </w:rPr>
        <w:t xml:space="preserve">United States</w:t>
      </w:r>
      <w:r>
        <w:t xml:space="preserve">, Miami presents unparalleled opportunities for growth. However, capturing this market requires a nuanced approach to customer service delivered by our dedicated</w:t>
      </w:r>
      <w:r>
        <w:t xml:space="preserve"> </w:t>
      </w:r>
      <w:r>
        <w:rPr>
          <w:bCs/>
          <w:b/>
        </w:rPr>
        <w:t xml:space="preserve">Banker</w:t>
      </w:r>
      <w:r>
        <w:t xml:space="preserve"> </w:t>
      </w:r>
      <w:r>
        <w:t xml:space="preserve">staff.</w:t>
      </w:r>
    </w:p>
    <w:p>
      <w:pPr>
        <w:pStyle w:val="BodyText"/>
      </w:pPr>
      <w:r>
        <w:t xml:space="preserve">This report details the operational framework required to support these initiatives, highlighting the necessity for bilingual capabilities, specialized knowledge in cross-border transactions, and an understanding of local regulatory nuances. The primary goal is to increase market share in South Florida by establishing a robust reputation for personalized financial stewardship.</w:t>
      </w:r>
    </w:p>
    <w:bookmarkEnd w:id="20"/>
    <w:bookmarkStart w:id="23" w:name="Xc2aaaf5f3ee9dd18a84e927308e6d59a6e7ba8b"/>
    <w:p>
      <w:pPr>
        <w:pStyle w:val="Heading2"/>
      </w:pPr>
      <w:r>
        <w:t xml:space="preserve">2. Market Analysis: The United States Miami Context</w:t>
      </w:r>
    </w:p>
    <w:p>
      <w:pPr>
        <w:pStyle w:val="FirstParagraph"/>
      </w:pPr>
      <w:r>
        <w:t xml:space="preserve">Miami has evolved from a seasonal tourism destination into a permanent global metropolis. Its status as the "Gateway to the Americas" makes it one of the most critical financial centers in North America. For our institution, operating in</w:t>
      </w:r>
      <w:r>
        <w:t xml:space="preserve"> </w:t>
      </w:r>
      <w:r>
        <w:rPr>
          <w:bCs/>
          <w:b/>
        </w:rPr>
        <w:t xml:space="preserve">United States Miami</w:t>
      </w:r>
      <w:r>
        <w:t xml:space="preserve"> </w:t>
      </w:r>
      <w:r>
        <w:t xml:space="preserve">means navigating a complex ecosystem characterized by high-net-worth individuals, international investors, and a rapidly growing startup scene.</w:t>
      </w:r>
    </w:p>
    <w:bookmarkStart w:id="21" w:name="demographic-shifts"/>
    <w:p>
      <w:pPr>
        <w:pStyle w:val="Heading3"/>
      </w:pPr>
      <w:r>
        <w:t xml:space="preserve">2.1 Demographic Shifts</w:t>
      </w:r>
    </w:p>
    <w:p>
      <w:pPr>
        <w:pStyle w:val="FirstParagraph"/>
      </w:pPr>
      <w:r>
        <w:t xml:space="preserve">The demographic profile of the region has shifted significantly in recent years. There is an influx of wealthy residents from Latin America and Europe seeking stable investment vehicles within the</w:t>
      </w:r>
      <w:r>
        <w:t xml:space="preserve"> </w:t>
      </w:r>
      <w:r>
        <w:rPr>
          <w:bCs/>
          <w:b/>
        </w:rPr>
        <w:t xml:space="preserve">United States</w:t>
      </w:r>
      <w:r>
        <w:t xml:space="preserve">. This population requires more than standard retail banking; they demand wealth management, estate planning, and sophisticated currency exchange services. Our</w:t>
      </w:r>
      <w:r>
        <w:t xml:space="preserve"> </w:t>
      </w:r>
      <w:r>
        <w:rPr>
          <w:bCs/>
          <w:b/>
        </w:rPr>
        <w:t xml:space="preserve">Banker</w:t>
      </w:r>
      <w:r>
        <w:t xml:space="preserve"> </w:t>
      </w:r>
      <w:r>
        <w:t xml:space="preserve">team must be equipped to handle these high-touch interactions with cultural sensitivity and financial acumen.</w:t>
      </w:r>
    </w:p>
    <w:bookmarkEnd w:id="21"/>
    <w:bookmarkStart w:id="22" w:name="economic-drivers"/>
    <w:p>
      <w:pPr>
        <w:pStyle w:val="Heading3"/>
      </w:pPr>
      <w:r>
        <w:t xml:space="preserve">2.2 Economic Drivers</w:t>
      </w:r>
    </w:p>
    <w:p>
      <w:pPr>
        <w:pStyle w:val="FirstParagraph"/>
      </w:pPr>
      <w:r>
        <w:t xml:space="preserve">The real estate market in Miami remains one of the most volatile yet lucrative in the country. Cash transactions are prevalent, and international wire transfers are a daily occurrence. Furthermore, the rise of fintech companies establishing headquarters in South Florida has created a demand for commercial banking solutions that cater to agile, tech-forward businesses. Understanding these economic drivers is essential for our</w:t>
      </w:r>
      <w:r>
        <w:t xml:space="preserve"> </w:t>
      </w:r>
      <w:r>
        <w:rPr>
          <w:bCs/>
          <w:b/>
        </w:rPr>
        <w:t xml:space="preserve">Banker</w:t>
      </w:r>
      <w:r>
        <w:t xml:space="preserve"> </w:t>
      </w:r>
      <w:r>
        <w:t xml:space="preserve">staff to provide relevant advice and product recommendations.</w:t>
      </w:r>
    </w:p>
    <w:bookmarkEnd w:id="22"/>
    <w:bookmarkEnd w:id="23"/>
    <w:bookmarkStart w:id="26" w:name="Xf3eb832fe025789af1617ed6e0234251d46c578"/>
    <w:p>
      <w:pPr>
        <w:pStyle w:val="Heading2"/>
      </w:pPr>
      <w:r>
        <w:t xml:space="preserve">3. The Role of the Banker in Local Service Delivery</w:t>
      </w:r>
    </w:p>
    <w:p>
      <w:pPr>
        <w:pStyle w:val="FirstParagraph"/>
      </w:pPr>
      <w:r>
        <w:t xml:space="preserve">The core of this project relies on the human element: the qualified</w:t>
      </w:r>
      <w:r>
        <w:t xml:space="preserve"> </w:t>
      </w:r>
      <w:r>
        <w:rPr>
          <w:bCs/>
          <w:b/>
        </w:rPr>
        <w:t xml:space="preserve">Banker</w:t>
      </w:r>
      <w:r>
        <w:t xml:space="preserve">. In a competitive market like Miami, where numerous national and international banks compete for attention, personal relationships are paramount. The</w:t>
      </w:r>
      <w:r>
        <w:t xml:space="preserve"> </w:t>
      </w:r>
      <w:r>
        <w:rPr>
          <w:bCs/>
          <w:b/>
        </w:rPr>
        <w:t xml:space="preserve">Banker</w:t>
      </w:r>
      <w:r>
        <w:t xml:space="preserve"> </w:t>
      </w:r>
      <w:r>
        <w:t xml:space="preserve">serves as the primary point of contact between our institution and our clients in</w:t>
      </w:r>
      <w:r>
        <w:t xml:space="preserve"> </w:t>
      </w:r>
      <w:r>
        <w:rPr>
          <w:bCs/>
          <w:b/>
        </w:rPr>
        <w:t xml:space="preserve">United States Miami</w:t>
      </w:r>
      <w:r>
        <w:t xml:space="preserve">.</w:t>
      </w:r>
    </w:p>
    <w:bookmarkStart w:id="24" w:name="bilingual-proficiency-requirements"/>
    <w:p>
      <w:pPr>
        <w:pStyle w:val="Heading3"/>
      </w:pPr>
      <w:r>
        <w:t xml:space="preserve">3.1 Bilingual Proficiency Requirements</w:t>
      </w:r>
    </w:p>
    <w:p>
      <w:pPr>
        <w:pStyle w:val="FirstParagraph"/>
      </w:pPr>
      <w:r>
        <w:t xml:space="preserve">A critical success factor for this initiative is the linguistic capability of our staff. Given the significant Hispanic and Latino population in South Florida, fluency in Spanish and Portuguese is not just an asset but a necessity. Our hiring strategy for the</w:t>
      </w:r>
      <w:r>
        <w:t xml:space="preserve"> </w:t>
      </w:r>
      <w:r>
        <w:rPr>
          <w:bCs/>
          <w:b/>
        </w:rPr>
        <w:t xml:space="preserve">Banker</w:t>
      </w:r>
      <w:r>
        <w:t xml:space="preserve"> </w:t>
      </w:r>
      <w:r>
        <w:t xml:space="preserve">role will prioritize candidates who are bilingual or trilingual, ensuring seamless communication with a diverse clientele. This linguistic bridge fosters trust and facilitates clearer understanding of complex financial products.</w:t>
      </w:r>
    </w:p>
    <w:bookmarkEnd w:id="24"/>
    <w:bookmarkStart w:id="25" w:name="cross-cultural-competence"/>
    <w:p>
      <w:pPr>
        <w:pStyle w:val="Heading3"/>
      </w:pPr>
      <w:r>
        <w:t xml:space="preserve">3.2 Cross-Cultural Competence</w:t>
      </w:r>
    </w:p>
    <w:p>
      <w:pPr>
        <w:pStyle w:val="FirstParagraph"/>
      </w:pPr>
      <w:r>
        <w:t xml:space="preserve">Beyond language, the</w:t>
      </w:r>
      <w:r>
        <w:t xml:space="preserve"> </w:t>
      </w:r>
      <w:r>
        <w:rPr>
          <w:bCs/>
          <w:b/>
        </w:rPr>
        <w:t xml:space="preserve">Banker</w:t>
      </w:r>
      <w:r>
        <w:t xml:space="preserve"> </w:t>
      </w:r>
      <w:r>
        <w:t xml:space="preserve">must possess cross-cultural competence. Clients in Miami often have international ties, meaning their banking needs may involve multi-jurisdictional considerations. Training programs will focus on cultural nuances, allowing our</w:t>
      </w:r>
      <w:r>
        <w:t xml:space="preserve"> </w:t>
      </w:r>
      <w:r>
        <w:rPr>
          <w:bCs/>
          <w:b/>
        </w:rPr>
        <w:t xml:space="preserve">Banker</w:t>
      </w:r>
      <w:r>
        <w:t xml:space="preserve"> </w:t>
      </w:r>
      <w:r>
        <w:t xml:space="preserve">team to build rapport with clients from various backgrounds while maintaining compliance with local and federal regulations.</w:t>
      </w:r>
    </w:p>
    <w:bookmarkEnd w:id="25"/>
    <w:bookmarkEnd w:id="26"/>
    <w:bookmarkStart w:id="29" w:name="operational-strategy-and-compliance"/>
    <w:p>
      <w:pPr>
        <w:pStyle w:val="Heading2"/>
      </w:pPr>
      <w:r>
        <w:t xml:space="preserve">4. Operational Strategy and Compliance</w:t>
      </w:r>
    </w:p>
    <w:p>
      <w:pPr>
        <w:pStyle w:val="FirstParagraph"/>
      </w:pPr>
      <w:r>
        <w:t xml:space="preserve">The operational framework for implementing this strategy must be robust, ensuring that growth does not come at the expense of regulatory compliance or service quality. The specific context of</w:t>
      </w:r>
      <w:r>
        <w:t xml:space="preserve"> </w:t>
      </w:r>
      <w:r>
        <w:rPr>
          <w:bCs/>
          <w:b/>
        </w:rPr>
        <w:t xml:space="preserve">United States Miami</w:t>
      </w:r>
      <w:r>
        <w:t xml:space="preserve">, with its heavy emphasis on international money flow, requires heightened attention to Anti-Money Laundering (AML) and Know Your Customer (KYC) protocols.</w:t>
      </w:r>
    </w:p>
    <w:bookmarkStart w:id="27" w:name="enhanced-due-diligence"/>
    <w:p>
      <w:pPr>
        <w:pStyle w:val="Heading3"/>
      </w:pPr>
      <w:r>
        <w:t xml:space="preserve">4.1 Enhanced Due Diligence</w:t>
      </w:r>
    </w:p>
    <w:p>
      <w:pPr>
        <w:pStyle w:val="FirstParagraph"/>
      </w:pPr>
      <w:r>
        <w:t xml:space="preserve">All</w:t>
      </w:r>
      <w:r>
        <w:t xml:space="preserve"> </w:t>
      </w:r>
      <w:r>
        <w:rPr>
          <w:bCs/>
          <w:b/>
        </w:rPr>
        <w:t xml:space="preserve">Banker</w:t>
      </w:r>
      <w:r>
        <w:t xml:space="preserve"> </w:t>
      </w:r>
      <w:r>
        <w:t xml:space="preserve">personnel will undergo specialized training on enhanced due diligence procedures. This is particularly relevant for clients involved in real estate development or international trade, sectors that are dominant in the Miami economy. By ensuring that our</w:t>
      </w:r>
      <w:r>
        <w:t xml:space="preserve"> </w:t>
      </w:r>
      <w:r>
        <w:rPr>
          <w:bCs/>
          <w:b/>
        </w:rPr>
        <w:t xml:space="preserve">Banker</w:t>
      </w:r>
      <w:r>
        <w:t xml:space="preserve">s are vigilant yet respectful, we can mitigate risk while providing a premium service experience.</w:t>
      </w:r>
    </w:p>
    <w:bookmarkEnd w:id="27"/>
    <w:bookmarkStart w:id="28" w:name="technology-integration"/>
    <w:p>
      <w:pPr>
        <w:pStyle w:val="Heading3"/>
      </w:pPr>
      <w:r>
        <w:t xml:space="preserve">4.2 Technology Integration</w:t>
      </w:r>
    </w:p>
    <w:p>
      <w:pPr>
        <w:pStyle w:val="FirstParagraph"/>
      </w:pPr>
      <w:r>
        <w:t xml:space="preserve">To support the efforts of our onsite and virtual</w:t>
      </w:r>
      <w:r>
        <w:t xml:space="preserve"> </w:t>
      </w:r>
      <w:r>
        <w:rPr>
          <w:bCs/>
          <w:b/>
        </w:rPr>
        <w:t xml:space="preserve">Banker</w:t>
      </w:r>
      <w:r>
        <w:t xml:space="preserve">s, we will implement advanced CRM tools tailored to track client interactions specific to the Miami market. These tools will provide insights into local investment trends and allow for personalized outreach. The integration of digital banking platforms must be seamless, allowing clients in</w:t>
      </w:r>
      <w:r>
        <w:t xml:space="preserve"> </w:t>
      </w:r>
      <w:r>
        <w:rPr>
          <w:bCs/>
          <w:b/>
        </w:rPr>
        <w:t xml:space="preserve">United States Miami</w:t>
      </w:r>
      <w:r>
        <w:t xml:space="preserve"> </w:t>
      </w:r>
      <w:r>
        <w:t xml:space="preserve">to conduct transactions quickly while still having access to human support when needed.</w:t>
      </w:r>
    </w:p>
    <w:bookmarkEnd w:id="28"/>
    <w:bookmarkEnd w:id="29"/>
    <w:bookmarkStart w:id="30" w:name="X15afb7a37338d4343d0a86cbceaf8ac9da60289"/>
    <w:p>
      <w:pPr>
        <w:pStyle w:val="Heading2"/>
      </w:pPr>
      <w:r>
        <w:t xml:space="preserve">5. Financial Projections and Resource Allocation</w:t>
      </w:r>
    </w:p>
    <w:p>
      <w:pPr>
        <w:pStyle w:val="FirstParagraph"/>
      </w:pPr>
      <w:r>
        <w:t xml:space="preserve">The allocation of resources for this project includes recruitment costs, specialized training modules, marketing campaigns targeted at the Miami demographic, and technology infrastructure upgrades. We anticipate a break-even period of eighteen months as we build our client base in this competitive sector.</w:t>
      </w:r>
    </w:p>
    <w:p>
      <w:pPr>
        <w:pStyle w:val="BodyText"/>
      </w:pPr>
      <w:r>
        <w:t xml:space="preserve">The return on investment is projected through increased deposit growth from high-net-worth individuals and expanded commercial lending opportunities within the local real estate sector. By empowering our</w:t>
      </w:r>
      <w:r>
        <w:t xml:space="preserve"> </w:t>
      </w:r>
      <w:r>
        <w:rPr>
          <w:bCs/>
          <w:b/>
        </w:rPr>
        <w:t xml:space="preserve">Banker</w:t>
      </w:r>
      <w:r>
        <w:t xml:space="preserve"> </w:t>
      </w:r>
      <w:r>
        <w:t xml:space="preserve">team with the right tools and training, we expect to see a significant uplift in customer retention rates compared to national averages.</w:t>
      </w:r>
    </w:p>
    <w:bookmarkEnd w:id="30"/>
    <w:bookmarkStart w:id="31" w:name="risk-management"/>
    <w:p>
      <w:pPr>
        <w:pStyle w:val="Heading2"/>
      </w:pPr>
      <w:r>
        <w:t xml:space="preserve">6. Risk Management</w:t>
      </w:r>
    </w:p>
    <w:p>
      <w:pPr>
        <w:pStyle w:val="FirstParagraph"/>
      </w:pPr>
      <w:r>
        <w:t xml:space="preserve">Risks associated with this project include intense competition from established regional banks and potential regulatory changes affecting international transactions. Additionally, the physical risks associated with operating in a hurricane-prone area like Miami require robust business continuity plans for our branch locations.</w:t>
      </w:r>
    </w:p>
    <w:p>
      <w:pPr>
        <w:pStyle w:val="BodyText"/>
      </w:pPr>
      <w:r>
        <w:t xml:space="preserve">To mitigate these risks, we will diversify our revenue streams by offering a wider range of investment products managed by our senior</w:t>
      </w:r>
      <w:r>
        <w:t xml:space="preserve"> </w:t>
      </w:r>
      <w:r>
        <w:rPr>
          <w:bCs/>
          <w:b/>
        </w:rPr>
        <w:t xml:space="preserve">Banker</w:t>
      </w:r>
      <w:r>
        <w:t xml:space="preserve">s. We will also invest heavily in cybersecurity to protect client data, ensuring that the trust placed in us remains unbroken.</w:t>
      </w:r>
    </w:p>
    <w:bookmarkEnd w:id="31"/>
    <w:bookmarkStart w:id="32" w:name="conclusion"/>
    <w:p>
      <w:pPr>
        <w:pStyle w:val="Heading2"/>
      </w:pPr>
      <w:r>
        <w:t xml:space="preserve">7. Conclusion</w:t>
      </w:r>
    </w:p>
    <w:p>
      <w:pPr>
        <w:pStyle w:val="FirstParagraph"/>
      </w:pPr>
      <w:r>
        <w:t xml:space="preserve">The expansion and refinement of our banking services in this region represent a strategic imperative. The unique economic and cultural fabric of</w:t>
      </w:r>
      <w:r>
        <w:t xml:space="preserve"> </w:t>
      </w:r>
      <w:r>
        <w:rPr>
          <w:bCs/>
          <w:b/>
        </w:rPr>
        <w:t xml:space="preserve">United States Miami</w:t>
      </w:r>
      <w:r>
        <w:t xml:space="preserve"> </w:t>
      </w:r>
      <w:r>
        <w:t xml:space="preserve">demands a specialized approach that standard national strategies cannot fully address. By focusing on the development of a highly skilled, bilingual, and culturally aware</w:t>
      </w:r>
      <w:r>
        <w:t xml:space="preserve"> </w:t>
      </w:r>
      <w:r>
        <w:rPr>
          <w:bCs/>
          <w:b/>
        </w:rPr>
        <w:t xml:space="preserve">Banker</w:t>
      </w:r>
      <w:r>
        <w:t xml:space="preserve"> </w:t>
      </w:r>
      <w:r>
        <w:t xml:space="preserve">workforce, we position our institution to capitalize on the region's growth.</w:t>
      </w:r>
    </w:p>
    <w:p>
      <w:pPr>
        <w:pStyle w:val="BodyText"/>
      </w:pPr>
      <w:r>
        <w:t xml:space="preserve">This project report underscores that success in this market is not merely about offering financial products; it is about building lasting relationships grounded in trust and expertise. The implementation of these strategies will solidify our presence as a leading financial partner for individuals and businesses alike in South Florida. We recommend immediate approval of the proposed budget to begin the recruitment phase for new</w:t>
      </w:r>
      <w:r>
        <w:t xml:space="preserve"> </w:t>
      </w:r>
      <w:r>
        <w:rPr>
          <w:bCs/>
          <w:b/>
        </w:rPr>
        <w:t xml:space="preserve">Banker</w:t>
      </w:r>
      <w:r>
        <w:t xml:space="preserve"> </w:t>
      </w:r>
      <w:r>
        <w:t xml:space="preserve">roles effective next quarter.</w:t>
      </w:r>
    </w:p>
    <w:p>
      <w:pPr>
        <w:pStyle w:val="BodyText"/>
      </w:pPr>
      <w:r>
        <w:t xml:space="preserve">© 2023 Financial Strategic Planning Division. Confidential Document.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Banking Initiatives in United States Miami</dc:title>
  <dc:creator/>
  <dc:language>en</dc:language>
  <cp:keywords/>
  <dcterms:created xsi:type="dcterms:W3CDTF">2026-07-29T15:15:13Z</dcterms:created>
  <dcterms:modified xsi:type="dcterms:W3CDTF">2026-07-29T15:15:13Z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