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Consultancy</w:t>
      </w:r>
      <w:r>
        <w:t xml:space="preserve"> </w:t>
      </w:r>
      <w:r>
        <w:t xml:space="preserve">Project</w:t>
      </w:r>
      <w:r>
        <w:t xml:space="preserve"> </w:t>
      </w:r>
      <w:r>
        <w:t xml:space="preserve">Report:</w:t>
      </w:r>
      <w:r>
        <w:t xml:space="preserve"> </w:t>
      </w:r>
      <w:r>
        <w:t xml:space="preserve">Melbourne</w:t>
      </w:r>
      <w:r>
        <w:t xml:space="preserve"> </w:t>
      </w:r>
      <w:r>
        <w:t xml:space="preserve">Market</w:t>
      </w:r>
      <w:r>
        <w:t xml:space="preserve"> </w:t>
      </w:r>
      <w:r>
        <w:t xml:space="preserve">Analysis</w:t>
      </w:r>
    </w:p>
    <w:bookmarkStart w:id="32" w:name="X8a70d15b2ed3ae36cb4ed1fc45a1b569a2e0b3a"/>
    <w:p>
      <w:pPr>
        <w:pStyle w:val="Heading1"/>
      </w:pPr>
      <w:r>
        <w:t xml:space="preserve">Project Report: Implementation of a Specialized Business Consultant Framework for the Melbourne Market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rPr>
          <w:t xml:space="preserve">Project Report</w:t>
        </w:r>
      </w:hyperlink>
      <w:r>
        <w:t xml:space="preserve">Australia Melbourne. The primary objective is to bridge the gap between local business agility and global best practices, ensuring that organizations in this vibrant metropolitan hub can navigate complex regulatory environments, leverage technological advancements, and sustain competitive growth. By focusing specifically on</w:t>
      </w:r>
      <w:r>
        <w:t xml:space="preserve"> </w:t>
      </w:r>
      <w:hyperlink w:anchor="Xa39a3ee5e6b4b0d3255bfef95601890afd80709">
        <w:r>
          <w:rPr>
            <w:rStyle w:val="Hyperlink"/>
          </w:rPr>
          <w:t xml:space="preserve">Business Consultant</w:t>
        </w:r>
      </w:hyperlink>
      <w:r>
        <w:t xml:space="preserve"> </w:t>
      </w:r>
      <w:r>
        <w:t xml:space="preserve">methodologies tailored to the unique cultural and economic nuances of Victoria’s capital, this initiative aims to deliver measurable value through enhanced operational efficiency and strategic foresight.</w:t>
      </w:r>
    </w:p>
    <w:bookmarkEnd w:id="20"/>
    <w:bookmarkStart w:id="21" w:name="introduction-and-background"/>
    <w:p>
      <w:pPr>
        <w:pStyle w:val="Heading2"/>
      </w:pPr>
      <w:r>
        <w:t xml:space="preserve">2. Introduction and Background</w:t>
      </w:r>
    </w:p>
    <w:p>
      <w:pPr>
        <w:pStyle w:val="FirstParagraph"/>
      </w:pPr>
      <w:hyperlink w:anchor="Xa39a3ee5e6b4b0d3255bfef95601890afd80709">
        <w:r>
          <w:rPr>
            <w:rStyle w:val="Hyperlink"/>
          </w:rPr>
          <w:t xml:space="preserve">Australia Melbourne</w:t>
        </w:r>
      </w:hyperlink>
    </w:p>
    <w:p>
      <w:pPr>
        <w:pStyle w:val="BodyText"/>
      </w:pPr>
      <w:r>
        <w:t xml:space="preserve">Traditional consulting models often fail to account for the specific local dynamics of</w:t>
      </w:r>
      <w:r>
        <w:t xml:space="preserve"> </w:t>
      </w:r>
      <w:hyperlink w:anchor="Xa39a3ee5e6b4b0d3255bfef95601890afd80709">
        <w:r>
          <w:rPr>
            <w:rStyle w:val="Hyperlink"/>
          </w:rPr>
          <w:t xml:space="preserve">Australia Melbourne</w:t>
        </w:r>
      </w:hyperlink>
      <w:r>
        <w:t xml:space="preserve">, such as the heavy influence of small-to-medium enterprises (SMEs) on the broader economy and the distinct regulatory framework governed by Victorian state laws. Therefore, this project proposes a specialized</w:t>
      </w:r>
      <w:r>
        <w:t xml:space="preserve"> </w:t>
      </w:r>
      <w:hyperlink w:anchor="Xa39a3ee5e6b4b0d3255bfef95601890afd80709">
        <w:r>
          <w:rPr>
            <w:rStyle w:val="Hyperlink"/>
          </w:rPr>
          <w:t xml:space="preserve">Business Consultant</w:t>
        </w:r>
      </w:hyperlink>
      <w:r>
        <w:t xml:space="preserve"> </w:t>
      </w:r>
      <w:r>
        <w:t xml:space="preserve">service that is deeply rooted in local expertise while maintaining international standards of excellence.</w:t>
      </w:r>
    </w:p>
    <w:bookmarkEnd w:id="21"/>
    <w:bookmarkStart w:id="22" w:name="market-analysis-the-melbourne-context"/>
    <w:p>
      <w:pPr>
        <w:pStyle w:val="Heading2"/>
      </w:pPr>
      <w:r>
        <w:t xml:space="preserve">3. Market Analysis: The Melbourne Context</w:t>
      </w:r>
    </w:p>
    <w:p>
      <w:pPr>
        <w:pStyle w:val="FirstParagraph"/>
      </w:pPr>
      <w:r>
        <w:t xml:space="preserve">To ensure the success of this initiative, a comprehensive analysis of the</w:t>
      </w:r>
      <w:r>
        <w:t xml:space="preserve"> </w:t>
      </w:r>
      <w:hyperlink w:anchor="Xa39a3ee5e6b4b0d3255bfef95601890afd80709">
        <w:r>
          <w:rPr>
            <w:rStyle w:val="Hyperlink"/>
          </w:rPr>
          <w:t xml:space="preserve">Australia Melbourne</w:t>
        </w:r>
      </w:hyperlink>
      <w:r>
        <w:t xml:space="preserve"> </w:t>
      </w:r>
      <w:r>
        <w:t xml:space="preserve">market has been conducted. Key findings include:</w:t>
      </w:r>
    </w:p>
    <w:p>
      <w:pPr>
        <w:numPr>
          <w:ilvl w:val="0"/>
          <w:numId w:val="1001"/>
        </w:numPr>
        <w:pStyle w:val="Compact"/>
      </w:pPr>
      <w:r>
        <w:rPr>
          <w:bCs/>
          <w:b/>
        </w:rPr>
        <w:t xml:space="preserve">Economic Resilience:</w:t>
      </w:r>
      <w:r>
        <w:t xml:space="preserve">The city has demonstrated remarkable resilience in recovering from global disruptions, with a strong emphasis on innovation districts such as the Melbourne Innovation District and Southbank.</w:t>
      </w:r>
    </w:p>
    <w:p>
      <w:pPr>
        <w:numPr>
          <w:ilvl w:val="0"/>
          <w:numId w:val="1001"/>
        </w:numPr>
        <w:pStyle w:val="Compact"/>
      </w:pPr>
      <w:r>
        <w:rPr>
          <w:bCs/>
          <w:b/>
        </w:rPr>
        <w:t xml:space="preserve">Talent Availability:</w:t>
      </w:r>
      <w:r>
        <w:t xml:space="preserve">Melbourne boasts a highly educated workforce, yet many local businesses struggle to retain top talent due to rigid corporate structures. A key service offering will be Human Capital optimization.</w:t>
      </w:r>
    </w:p>
    <w:p>
      <w:pPr>
        <w:numPr>
          <w:ilvl w:val="0"/>
          <w:numId w:val="1001"/>
        </w:numPr>
        <w:pStyle w:val="Compact"/>
      </w:pPr>
      <w:r>
        <w:rPr>
          <w:bCs/>
          <w:b/>
        </w:rPr>
        <w:t xml:space="preserve">Sustainability Focus:</w:t>
      </w:r>
      <w:r>
        <w:t xml:space="preserve">Australian consumers and investors are increasingly prioritizing Environmental, Social, and Governance (ESG) criteria. Local firms need expert guidance on integrating sustainable practices into their core business models.</w:t>
      </w:r>
    </w:p>
    <w:p>
      <w:pPr>
        <w:numPr>
          <w:ilvl w:val="0"/>
          <w:numId w:val="1001"/>
        </w:numPr>
        <w:pStyle w:val="Compact"/>
      </w:pPr>
      <w:r>
        <w:rPr>
          <w:bCs/>
          <w:b/>
        </w:rPr>
        <w:t xml:space="preserve">Digital Adoption:</w:t>
      </w:r>
      <w:r>
        <w:t xml:space="preserve">While infrastructure is strong, there is a disparity in digital maturity across industries.</w:t>
      </w:r>
      <w:r>
        <w:t xml:space="preserve"> </w:t>
      </w:r>
      <w:hyperlink w:anchor="Xa39a3ee5e6b4b0d3255bfef95601890afd80709">
        <w:r>
          <w:rPr>
            <w:rStyle w:val="Hyperlink"/>
          </w:rPr>
          <w:t xml:space="preserve">Business Consultant</w:t>
        </w:r>
      </w:hyperlink>
      <w:r>
        <w:t xml:space="preserve"> </w:t>
      </w:r>
      <w:r>
        <w:t xml:space="preserve">interventions are required to accelerate digital transformation without disrupting legacy systems.</w:t>
      </w:r>
    </w:p>
    <w:bookmarkEnd w:id="22"/>
    <w:bookmarkStart w:id="26" w:name="project-objectives-and-scope"/>
    <w:p>
      <w:pPr>
        <w:pStyle w:val="Heading2"/>
      </w:pPr>
      <w:r>
        <w:t xml:space="preserve">4. Project Objectives and Scope</w:t>
      </w:r>
    </w:p>
    <w:p>
      <w:pPr>
        <w:pStyle w:val="FirstParagraph"/>
      </w:pPr>
      <w:r>
        <w:t xml:space="preserve">The core scope of this</w:t>
      </w:r>
      <w:r>
        <w:t xml:space="preserve"> </w:t>
      </w:r>
      <w:hyperlink w:anchor="Xa39a3ee5e6b4b0d3255bfef95601890afd80709">
        <w:r>
          <w:rPr>
            <w:rStyle w:val="Hyperlink"/>
          </w:rPr>
          <w:t xml:space="preserve">Project Report</w:t>
        </w:r>
      </w:hyperlink>
      <w:r>
        <w:t xml:space="preserve">'s initiative is to define a consultancy model that delivers tangible results. The specific objectives are as follows:</w:t>
      </w:r>
    </w:p>
    <w:bookmarkStart w:id="23" w:name="strategic-advisory-services"/>
    <w:p>
      <w:pPr>
        <w:pStyle w:val="Heading3"/>
      </w:pPr>
      <w:r>
        <w:t xml:space="preserve">4.1 Strategic Advisory Services</w:t>
      </w:r>
    </w:p>
    <w:p>
      <w:pPr>
        <w:pStyle w:val="FirstParagraph"/>
      </w:pPr>
      <w:r>
        <w:t xml:space="preserve">We aim to provide bespoke strategic roadmaps for clients in</w:t>
      </w:r>
      <w:r>
        <w:t xml:space="preserve"> </w:t>
      </w:r>
      <w:hyperlink w:anchor="Xa39a3ee5e6b4b0d3255bfef95601890afd80709">
        <w:r>
          <w:rPr>
            <w:rStyle w:val="Hyperlink"/>
          </w:rPr>
          <w:t xml:space="preserve">Australia Melbourne</w:t>
        </w:r>
      </w:hyperlink>
      <w:r>
        <w:t xml:space="preserve">. This includes market entry strategies for international firms looking to establish a foothold in the city, and expansion planning for local SMEs aiming to scale nationally. The role of the</w:t>
      </w:r>
      <w:r>
        <w:t xml:space="preserve"> </w:t>
      </w:r>
      <w:hyperlink w:anchor="Xa39a3ee5e6b4b0d3255bfef95601890afd80709">
        <w:r>
          <w:rPr>
            <w:rStyle w:val="Hyperlink"/>
          </w:rPr>
          <w:t xml:space="preserve">Business Consultant</w:t>
        </w:r>
      </w:hyperlink>
      <w:r>
        <w:t xml:space="preserve"> </w:t>
      </w:r>
      <w:r>
        <w:t xml:space="preserve">here is pivotal; they must act as both analyst and facilitator, ensuring that strategies are not only theoretically sound but also practically executable within the local context.</w:t>
      </w:r>
    </w:p>
    <w:bookmarkEnd w:id="23"/>
    <w:bookmarkStart w:id="24" w:name="operational-efficiency-improvement"/>
    <w:p>
      <w:pPr>
        <w:pStyle w:val="Heading3"/>
      </w:pPr>
      <w:r>
        <w:t xml:space="preserve">4.2 Operational Efficiency Improvement</w:t>
      </w:r>
    </w:p>
    <w:p>
      <w:pPr>
        <w:pStyle w:val="FirstParagraph"/>
      </w:pPr>
      <w:r>
        <w:t xml:space="preserve">A significant portion of our engagement will focus on lean management principles adapted for Australian workflows. We will analyze supply chain vulnerabilities, particularly those exposed by recent global events, and recommend localized solutions to enhance resilience.</w:t>
      </w:r>
    </w:p>
    <w:bookmarkEnd w:id="24"/>
    <w:bookmarkStart w:id="25" w:name="regulatory-compliance-and-governance"/>
    <w:p>
      <w:pPr>
        <w:pStyle w:val="Heading3"/>
      </w:pPr>
      <w:r>
        <w:t xml:space="preserve">4.3 Regulatory Compliance and Governance</w:t>
      </w:r>
    </w:p>
    <w:p>
      <w:pPr>
        <w:pStyle w:val="FirstParagraph"/>
      </w:pPr>
      <w:r>
        <w:t xml:space="preserve">Navigating the regulatory landscape in</w:t>
      </w:r>
      <w:r>
        <w:t xml:space="preserve"> </w:t>
      </w:r>
      <w:hyperlink w:anchor="Xa39a3ee5e6b4b0d3255bfef95601890afd80709">
        <w:r>
          <w:rPr>
            <w:rStyle w:val="Hyperlink"/>
          </w:rPr>
          <w:t xml:space="preserve">Australia Melbourne</w:t>
        </w:r>
      </w:hyperlink>
      <w:r>
        <w:t xml:space="preserve"> </w:t>
      </w:r>
      <w:r>
        <w:t xml:space="preserve">requires specialized knowledge of Fair Work regulations, state-specific environmental laws, and privacy acts. Our</w:t>
      </w:r>
      <w:r>
        <w:t xml:space="preserve"> </w:t>
      </w:r>
      <w:hyperlink w:anchor="Xa39a3ee5e6b4b0d3255bfef95601890afd80709">
        <w:r>
          <w:rPr>
            <w:rStyle w:val="Hyperlink"/>
          </w:rPr>
          <w:t xml:space="preserve">Business Consultant</w:t>
        </w:r>
      </w:hyperlink>
      <w:r>
        <w:t xml:space="preserve"> </w:t>
      </w:r>
      <w:r>
        <w:t xml:space="preserve">team will offer compliance audits to mitigate risk and ensure that clients operate within legal boundaries while maximizing operational freedom.</w:t>
      </w:r>
    </w:p>
    <w:bookmarkEnd w:id="25"/>
    <w:bookmarkEnd w:id="26"/>
    <w:bookmarkStart w:id="27" w:name="methodology-and-implementation-strategy"/>
    <w:p>
      <w:pPr>
        <w:pStyle w:val="Heading2"/>
      </w:pPr>
      <w:r>
        <w:t xml:space="preserve">5. Methodology and Implementation Strategy</w:t>
      </w:r>
    </w:p>
    <w:p>
      <w:pPr>
        <w:pStyle w:val="FirstParagraph"/>
      </w:pPr>
      <w:r>
        <w:t xml:space="preserve">The implementation of this consultancy framework follows a phased approach, ensuring thorough evaluation at each stage.</w:t>
      </w:r>
    </w:p>
    <w:p>
      <w:pPr>
        <w:numPr>
          <w:ilvl w:val="0"/>
          <w:numId w:val="1002"/>
        </w:numPr>
        <w:pStyle w:val="Compact"/>
      </w:pPr>
      <w:r>
        <w:rPr>
          <w:bCs/>
          <w:b/>
        </w:rPr>
        <w:t xml:space="preserve">Phase 1: Discovery and Diagnostic:</w:t>
      </w:r>
      <w:r>
        <w:t xml:space="preserve">The initial phase involves deep-dive interviews with stakeholders in</w:t>
      </w:r>
      <w:r>
        <w:t xml:space="preserve"> </w:t>
      </w:r>
      <w:hyperlink w:anchor="Xa39a3ee5e6b4b0d3255bfef95601890afd80709">
        <w:r>
          <w:rPr>
            <w:rStyle w:val="Hyperlink"/>
          </w:rPr>
          <w:t xml:space="preserve">Australia Melbourne</w:t>
        </w:r>
      </w:hyperlink>
      <w:r>
        <w:t xml:space="preserve"> </w:t>
      </w:r>
      <w:r>
        <w:t xml:space="preserve">to understand pain points. Data is collected regarding current performance metrics, employee satisfaction, and market positioning.</w:t>
      </w:r>
    </w:p>
    <w:p>
      <w:pPr>
        <w:numPr>
          <w:ilvl w:val="0"/>
          <w:numId w:val="1002"/>
        </w:numPr>
        <w:pStyle w:val="Compact"/>
      </w:pPr>
      <w:r>
        <w:rPr>
          <w:bCs/>
          <w:b/>
        </w:rPr>
        <w:t xml:space="preserve">Phase 2: Strategic Design:</w:t>
      </w:r>
      <w:r>
        <w:t xml:space="preserve">Data analysts and senior</w:t>
      </w:r>
      <w:r>
        <w:t xml:space="preserve"> </w:t>
      </w:r>
      <w:hyperlink w:anchor="Xa39a3ee5e6b4b0d3255bfef95601890afd80709">
        <w:r>
          <w:rPr>
            <w:rStyle w:val="Hyperlink"/>
          </w:rPr>
          <w:t xml:space="preserve">Business Consultant</w:t>
        </w:r>
      </w:hyperlink>
      <w:r>
        <w:t xml:space="preserve">s collaborate to design tailored solutions. This phase emphasizes the integration of global benchmarks with local realities. For instance, while a cost-cutting strategy may work in one region, it must be balanced against the high labor standards prevalent in Melbourne.</w:t>
      </w:r>
    </w:p>
    <w:p>
      <w:pPr>
        <w:numPr>
          <w:ilvl w:val="0"/>
          <w:numId w:val="1002"/>
        </w:numPr>
        <w:pStyle w:val="Compact"/>
      </w:pPr>
      <w:r>
        <w:rPr>
          <w:bCs/>
          <w:b/>
        </w:rPr>
        <w:t xml:space="preserve">Phase 3: Execution Support:</w:t>
      </w:r>
      <w:r>
        <w:t xml:space="preserve">We do not merely hand over a report and leave. The project includes hands-on support to implement changes. This change management aspect is crucial for maintaining staff morale during transitions.</w:t>
      </w:r>
    </w:p>
    <w:p>
      <w:pPr>
        <w:numPr>
          <w:ilvl w:val="0"/>
          <w:numId w:val="1002"/>
        </w:numPr>
        <w:pStyle w:val="Compact"/>
      </w:pPr>
      <w:r>
        <w:rPr>
          <w:bCs/>
          <w:b/>
        </w:rPr>
        <w:t xml:space="preserve">Phase 4: Monitoring and Review:</w:t>
      </w:r>
      <w:r>
        <w:t xml:space="preserve">Post-implementation reviews are scheduled at 3, 6, and 12-month intervals to assess the impact of consultancy interventions on key performance indicators (KPIs).</w:t>
      </w:r>
    </w:p>
    <w:bookmarkEnd w:id="27"/>
    <w:bookmarkStart w:id="28" w:name="resource-allocation-and-team-structure"/>
    <w:p>
      <w:pPr>
        <w:pStyle w:val="Heading2"/>
      </w:pPr>
      <w:r>
        <w:t xml:space="preserve">6. Resource Allocation and Team Structure</w:t>
      </w:r>
    </w:p>
    <w:p>
      <w:pPr>
        <w:pStyle w:val="FirstParagraph"/>
      </w:pPr>
      <w:r>
        <w:t xml:space="preserve">The success of this project relies heavily on the composition of the</w:t>
      </w:r>
      <w:r>
        <w:t xml:space="preserve"> </w:t>
      </w:r>
      <w:hyperlink w:anchor="Xa39a3ee5e6b4b0d3255bfef95601890afd80709">
        <w:r>
          <w:rPr>
            <w:rStyle w:val="Hyperlink"/>
          </w:rPr>
          <w:t xml:space="preserve">Business Consultant</w:t>
        </w:r>
      </w:hyperlink>
      <w:r>
        <w:t xml:space="preserve"> </w:t>
      </w:r>
      <w:r>
        <w:t xml:space="preserve">team. We propose a hybrid structure combining:</w:t>
      </w:r>
    </w:p>
    <w:p>
      <w:pPr>
        <w:numPr>
          <w:ilvl w:val="0"/>
          <w:numId w:val="1003"/>
        </w:numPr>
        <w:pStyle w:val="Compact"/>
      </w:pPr>
      <w:r>
        <w:rPr>
          <w:bCs/>
          <w:b/>
        </w:rPr>
        <w:t xml:space="preserve">Sector Specialists:</w:t>
      </w:r>
      <w:r>
        <w:t xml:space="preserve">Candidates with deep experience in Melbourne’s dominant industries (finance, healthcare, education).</w:t>
      </w:r>
    </w:p>
    <w:p>
      <w:pPr>
        <w:numPr>
          <w:ilvl w:val="0"/>
          <w:numId w:val="1003"/>
        </w:numPr>
        <w:pStyle w:val="Compact"/>
      </w:pPr>
      <w:r>
        <w:rPr>
          <w:bCs/>
          <w:b/>
        </w:rPr>
        <w:t xml:space="preserve">Digital Transformation Experts:</w:t>
      </w:r>
      <w:r>
        <w:t xml:space="preserve">Tech-savvy consultants who understand the Australian startup ecosystem.</w:t>
      </w:r>
    </w:p>
    <w:p>
      <w:pPr>
        <w:numPr>
          <w:ilvl w:val="0"/>
          <w:numId w:val="1003"/>
        </w:numPr>
        <w:pStyle w:val="Compact"/>
      </w:pPr>
      <w:r>
        <w:rPr>
          <w:bCs/>
          <w:b/>
        </w:rPr>
        <w:t xml:space="preserve">Local Liaison Officers:</w:t>
      </w:r>
      <w:r>
        <w:t xml:space="preserve">Staff members with strong networks within Victorian business chambers and government bodies to facilitate partnerships and streamline bureaucratic processes.</w:t>
      </w:r>
    </w:p>
    <w:bookmarkEnd w:id="28"/>
    <w:bookmarkStart w:id="29" w:name="risk-management"/>
    <w:p>
      <w:pPr>
        <w:pStyle w:val="Heading2"/>
      </w:pPr>
      <w:r>
        <w:t xml:space="preserve">7. Risk Management</w:t>
      </w:r>
    </w:p>
    <w:p>
      <w:pPr>
        <w:pStyle w:val="FirstParagraph"/>
      </w:pPr>
      <w:r>
        <w:t xml:space="preserve">All</w:t>
      </w:r>
      <w:r>
        <w:t xml:space="preserve"> </w:t>
      </w:r>
      <w:hyperlink w:anchor="Xa39a3ee5e6b4b0d3255bfef95601890afd80709">
        <w:r>
          <w:rPr>
            <w:rStyle w:val="Hyperlink"/>
          </w:rPr>
          <w:t xml:space="preserve">Project Report</w:t>
        </w:r>
      </w:hyperlink>
      <w:r>
        <w:t xml:space="preserve">s must account for potential risks. In the context of</w:t>
      </w:r>
      <w:r>
        <w:t xml:space="preserve"> </w:t>
      </w:r>
      <w:hyperlink w:anchor="Xa39a3ee5e6b4b0d3255bfef95601890afd80709">
        <w:r>
          <w:rPr>
            <w:rStyle w:val="Hyperlink"/>
          </w:rPr>
          <w:t xml:space="preserve">Australia Melbourne</w:t>
        </w:r>
      </w:hyperlink>
      <w:r>
        <w:t xml:space="preserve">, primary risks include:</w:t>
      </w:r>
    </w:p>
    <w:p>
      <w:pPr>
        <w:numPr>
          <w:ilvl w:val="0"/>
          <w:numId w:val="1004"/>
        </w:numPr>
        <w:pStyle w:val="Compact"/>
      </w:pPr>
      <w:r>
        <w:rPr>
          <w:bCs/>
          <w:b/>
        </w:rPr>
        <w:t xml:space="preserve">Talent Retention:</w:t>
      </w:r>
      <w:r>
        <w:t xml:space="preserve">The competitive labor market in Melbourne may lead to difficulties in recruiting and retaining high-quality consultants.</w:t>
      </w:r>
    </w:p>
    <w:p>
      <w:pPr>
        <w:numPr>
          <w:ilvl w:val="0"/>
          <w:numId w:val="1004"/>
        </w:numPr>
        <w:pStyle w:val="Compact"/>
      </w:pPr>
      <w:r>
        <w:rPr>
          <w:bCs/>
          <w:b/>
        </w:rPr>
        <w:t xml:space="preserve">Economic Volatility:</w:t>
      </w:r>
      <w:r>
        <w:t xml:space="preserve">Changes in interest rates or housing markets can impact the spending power of local SME clients.</w:t>
      </w:r>
    </w:p>
    <w:p>
      <w:pPr>
        <w:numPr>
          <w:ilvl w:val="0"/>
          <w:numId w:val="1004"/>
        </w:numPr>
        <w:pStyle w:val="Compact"/>
      </w:pPr>
      <w:r>
        <w:rPr>
          <w:bCs/>
          <w:b/>
        </w:rPr>
        <w:t xml:space="preserve">Cultural Misalignment:</w:t>
      </w:r>
      <w:r>
        <w:t xml:space="preserve">A failure to understand the "bush mentality" versus urban corporate culture in Melbourne could lead to resistance from client staff.</w:t>
      </w:r>
    </w:p>
    <w:p>
      <w:pPr>
        <w:pStyle w:val="FirstParagraph"/>
      </w:pPr>
      <w:r>
        <w:t xml:space="preserve">Mitigation strategies include competitive compensation packages, flexible working arrangements, and continuous cultural training for all incoming consultants.</w:t>
      </w:r>
    </w:p>
    <w:bookmarkEnd w:id="29"/>
    <w:bookmarkStart w:id="30" w:name="expected-outcomes-and-benefits"/>
    <w:p>
      <w:pPr>
        <w:pStyle w:val="Heading2"/>
      </w:pPr>
      <w:r>
        <w:t xml:space="preserve">8. Expected Outcomes and Benefits</w:t>
      </w:r>
    </w:p>
    <w:p>
      <w:pPr>
        <w:pStyle w:val="FirstParagraph"/>
      </w:pPr>
      <w:r>
        <w:t xml:space="preserve">The successful execution of this initiative will yield significant benefits for clients in</w:t>
      </w:r>
      <w:r>
        <w:t xml:space="preserve"> </w:t>
      </w:r>
      <w:hyperlink w:anchor="Xa39a3ee5e6b4b0d3255bfef95601890afd80709">
        <w:r>
          <w:rPr>
            <w:rStyle w:val="Hyperlink"/>
          </w:rPr>
          <w:t xml:space="preserve">Australia Melbourne</w:t>
        </w:r>
      </w:hyperlink>
      <w:r>
        <w:t xml:space="preserve">. By engaging our specialized</w:t>
      </w:r>
      <w:r>
        <w:t xml:space="preserve"> </w:t>
      </w:r>
      <w:hyperlink w:anchor="Xa39a3ee5e6b4b0d3255bfef95601890afd80709">
        <w:r>
          <w:rPr>
            <w:rStyle w:val="Hyperlink"/>
          </w:rPr>
          <w:t xml:space="preserve">Business Consultant</w:t>
        </w:r>
      </w:hyperlink>
      <w:r>
        <w:t xml:space="preserve"> </w:t>
      </w:r>
      <w:r>
        <w:t xml:space="preserve">services, organizations can expect:</w:t>
      </w:r>
    </w:p>
    <w:p>
      <w:pPr>
        <w:numPr>
          <w:ilvl w:val="0"/>
          <w:numId w:val="1005"/>
        </w:numPr>
        <w:pStyle w:val="Compact"/>
      </w:pPr>
      <w:r>
        <w:rPr>
          <w:bCs/>
          <w:b/>
        </w:rPr>
        <w:t xml:space="preserve">Increased Profitability:</w:t>
      </w:r>
      <w:r>
        <w:t xml:space="preserve">Average projected improvement of 15-20% in operational margins within the first year.</w:t>
      </w:r>
    </w:p>
    <w:p>
      <w:pPr>
        <w:numPr>
          <w:ilvl w:val="0"/>
          <w:numId w:val="1005"/>
        </w:numPr>
        <w:pStyle w:val="Compact"/>
      </w:pPr>
      <w:r>
        <w:rPr>
          <w:bCs/>
          <w:b/>
        </w:rPr>
        <w:t xml:space="preserve">Enhanced Agility:</w:t>
      </w:r>
      <w:r>
        <w:t xml:space="preserve">Faster response times to market changes due to improved digital infrastructure and streamlined decision-making processes.</w:t>
      </w:r>
    </w:p>
    <w:p>
      <w:pPr>
        <w:numPr>
          <w:ilvl w:val="0"/>
          <w:numId w:val="1005"/>
        </w:numPr>
        <w:pStyle w:val="Compact"/>
      </w:pPr>
      <w:r>
        <w:rPr>
          <w:bCs/>
          <w:b/>
        </w:rPr>
        <w:t xml:space="preserve">Sustainable Growth:</w:t>
      </w:r>
      <w:r>
        <w:t xml:space="preserve">Built-in ESG frameworks that appeal to modern investors and consumers in Victoria.</w:t>
      </w:r>
    </w:p>
    <w:bookmarkEnd w:id="30"/>
    <w:bookmarkStart w:id="31" w:name="conclusion"/>
    <w:p>
      <w:pPr>
        <w:pStyle w:val="Heading2"/>
      </w:pPr>
      <w:r>
        <w:t xml:space="preserve">9. Conclusion</w:t>
      </w:r>
    </w:p>
    <w:p>
      <w:pPr>
        <w:pStyle w:val="FirstParagraph"/>
      </w:pPr>
      <w:r>
        <w:t xml:space="preserve">In conclusion, this</w:t>
      </w:r>
      <w:r>
        <w:t xml:space="preserve"> </w:t>
      </w:r>
      <w:hyperlink w:anchor="Xa39a3ee5e6b4b0d3255bfef95601890afd80709">
        <w:r>
          <w:rPr>
            <w:rStyle w:val="Hyperlink"/>
          </w:rPr>
          <w:t xml:space="preserve">Project Report</w:t>
        </w:r>
      </w:hyperlink>
      <w:r>
        <w:t xml:space="preserve"> </w:t>
      </w:r>
      <w:r>
        <w:t xml:space="preserve">asserts that there is a critical need for a nuanced, locally-aware consultancy presence in</w:t>
      </w:r>
      <w:r>
        <w:t xml:space="preserve"> </w:t>
      </w:r>
      <w:hyperlink w:anchor="Xa39a3ee5e6b4b0d3255bfef95601890afd80709">
        <w:r>
          <w:rPr>
            <w:rStyle w:val="Hyperlink"/>
          </w:rPr>
          <w:t xml:space="preserve">Australia Melbourne</w:t>
        </w:r>
      </w:hyperlink>
      <w:r>
        <w:t xml:space="preserve">. The city’s unique economic fabric demands more than generic advice; it requires the specialized insight of expert</w:t>
      </w:r>
      <w:r>
        <w:t xml:space="preserve"> </w:t>
      </w:r>
      <w:r>
        <w:rPr>
          <w:bCs/>
          <w:b/>
        </w:rPr>
        <w:t xml:space="preserve">Business Consultant</w:t>
      </w:r>
      <w:r>
        <w:t xml:space="preserve">s who understand the local regulatory, cultural, and competitive landscapes. By investing in this project, we position ourselves to become a key driver of business success and innovation in one of Australia's most important cities. The subsequent steps involve finalizing budget allocations and initiating recruitment for the core consulting team.</w:t>
      </w:r>
    </w:p>
    <w:p>
      <w:pPr>
        <w:pStyle w:val="BodyText"/>
      </w:pPr>
      <w:r>
        <w:rPr>
          <w:bCs/>
          <w:b/>
        </w:rPr>
        <w:t xml:space="preserve">Next Steps:</w:t>
      </w:r>
      <w:r>
        <w:br/>
      </w:r>
      <w:r>
        <w:t xml:space="preserve">1. Approval of budget by Q4.</w:t>
      </w:r>
      <w:r>
        <w:br/>
      </w:r>
      <w:r>
        <w:t xml:space="preserve">2. Begin recruitment of lead</w:t>
      </w:r>
      <w:r>
        <w:t xml:space="preserve"> </w:t>
      </w:r>
      <w:hyperlink w:anchor="Xa39a3ee5e6b4b0d3255bfef95601890afd80709">
        <w:r>
          <w:rPr>
            <w:rStyle w:val="Hyperlink"/>
          </w:rPr>
          <w:t xml:space="preserve">Business Consultant</w:t>
        </w:r>
      </w:hyperlink>
      <w:r>
        <w:t xml:space="preserve">s.</w:t>
      </w:r>
      <w:r>
        <w:br/>
      </w:r>
      <w:r>
        <w:t xml:space="preserve">3. Launch pilot program with three selected clients in</w:t>
      </w:r>
      <w:r>
        <w:t xml:space="preserve"> </w:t>
      </w:r>
      <w:hyperlink w:anchor="Xa39a3ee5e6b4b0d3255bfef95601890afd80709">
        <w:r>
          <w:rPr>
            <w:rStyle w:val="Hyperlink"/>
          </w:rPr>
          <w:t xml:space="preserve">Australia Melbourne</w:t>
        </w:r>
      </w:hyperlink>
      <w:r>
        <w:t xml:space="preserve">.</w:t>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Consultancy Project Report: Melbourne Market Analysis</dc:title>
  <dc:creator/>
  <cp:keywords/>
  <dcterms:created xsi:type="dcterms:W3CDTF">2026-07-29T13:44:21Z</dcterms:created>
  <dcterms:modified xsi:type="dcterms:W3CDTF">2026-07-29T13:44:21Z</dcterms:modified>
</cp:coreProperties>
</file>

<file path=docProps/custom.xml><?xml version="1.0" encoding="utf-8"?>
<Properties xmlns="http://schemas.openxmlformats.org/officeDocument/2006/custom-properties" xmlns:vt="http://schemas.openxmlformats.org/officeDocument/2006/docPropsVTypes"/>
</file>