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India</w:t>
      </w:r>
      <w:r>
        <w:t xml:space="preserve"> </w:t>
      </w:r>
      <w:r>
        <w:t xml:space="preserve">Mumbai</w:t>
      </w:r>
    </w:p>
    <w:bookmarkStart w:id="30" w:name="X7d9c0309ed260229ee01e41ae781c3693c01d1a"/>
    <w:p>
      <w:pPr>
        <w:pStyle w:val="Heading1"/>
      </w:pPr>
      <w:r>
        <w:t xml:space="preserve">Project Report: Strategic Business Consulting Framework for India Mumbai</w:t>
      </w:r>
    </w:p>
    <w:p>
      <w:pPr>
        <w:pStyle w:val="FirstParagraph"/>
      </w:pPr>
      <w:r>
        <w:rPr>
          <w:bCs/>
          <w:b/>
        </w:rPr>
        <w:t xml:space="preserve">Date:</w:t>
      </w:r>
      <w:r>
        <w:t xml:space="preserve"> </w:t>
      </w:r>
      <w:r>
        <w:t xml:space="preserve">October 26, 2023</w:t>
      </w:r>
      <w:r>
        <w:br/>
      </w:r>
      <w:r>
        <w:rPr>
          <w:bCs/>
          <w:b/>
        </w:rPr>
        <w:t xml:space="preserve">To:</w:t>
      </w:r>
      <w:r>
        <w:t xml:space="preserve">/Board of Directors and Stakeholders</w:t>
      </w:r>
      <w:r>
        <w:br/>
      </w:r>
      <w:r>
        <w:br/>
      </w:r>
      <w:r>
        <w:t xml:space="preserve">**From:** Senior Project Management Office</w:t>
      </w:r>
      <w:r>
        <w:br/>
      </w:r>
      <w:r>
        <w:t xml:space="preserve">**Subject:** Implementation Strategy for High-Impact Business Consultant Services in the Dynamic Market of India Mumbai</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initiative to establish and deploy high-level</w:t>
      </w:r>
      <w:r>
        <w:t xml:space="preserve"> </w:t>
      </w:r>
      <w:r>
        <w:rPr>
          <w:bCs/>
          <w:b/>
        </w:rPr>
        <w:t xml:space="preserve">Business Consultant</w:t>
      </w:r>
      <w:r>
        <w:t xml:space="preserve"> </w:t>
      </w:r>
      <w:r>
        <w:t xml:space="preserve">services within the economic capital of India, specifically</w:t>
      </w:r>
    </w:p>
    <w:p>
      <w:pPr>
        <w:pStyle w:val="BodyText"/>
      </w:pPr>
      <w:r>
        <w:t xml:space="preserve">Mumbai. The financial hub of the nation presents unique challenges and unprecedented opportunities for enterprises seeking to scale operations, optimize regulatory compliance, or enter new market segments. This report outlines the market analysis, strategic objectives operational frameworks required to deliver value in this complex ecosystem.</w:t>
      </w:r>
    </w:p>
    <w:p>
      <w:pPr>
        <w:pStyle w:val="BodyText"/>
      </w:pPr>
      <w:r>
        <w:t xml:space="preserve">The primary objective is to create a robust consulting delivery model that leverages local insights while maintaining global best practices. By focusing on</w:t>
      </w:r>
      <w:r>
        <w:t xml:space="preserve"> </w:t>
      </w:r>
      <w:r>
        <w:rPr>
          <w:bCs/>
          <w:b/>
        </w:rPr>
        <w:t xml:space="preserve">India Mumbai</w:t>
      </w:r>
      <w:r>
        <w:t xml:space="preserve">, we aim to capitalize on its status as the seat of the Reserve Bank of India, the Bombay Stock Exchange, and headquarters for numerous multinational corporations. This</w:t>
      </w:r>
      <w:r>
        <w:t xml:space="preserve"> </w:t>
      </w:r>
      <w:r>
        <w:rPr>
          <w:bCs/>
          <w:b/>
        </w:rPr>
        <w:t xml:space="preserve">Project Report</w:t>
      </w:r>
      <w:r>
        <w:t xml:space="preserve"> </w:t>
      </w:r>
      <w:r>
        <w:t xml:space="preserve">articulates how our tailored consulting solutions will address these specific regional dynamics.</w:t>
      </w:r>
    </w:p>
    <w:bookmarkEnd w:id="20"/>
    <w:bookmarkStart w:id="21" w:name="market-context-the-mumbai-landscape"/>
    <w:p>
      <w:pPr>
        <w:pStyle w:val="Heading2"/>
      </w:pPr>
      <w:r>
        <w:t xml:space="preserve">2. Market Context: The Mumbai Landscape</w:t>
      </w:r>
    </w:p>
    <w:p>
      <w:pPr>
        <w:pStyle w:val="FirstParagraph"/>
      </w:pPr>
      <w:r>
        <w:t xml:space="preserve">To understand the necessity of specialized advisory services in</w:t>
      </w:r>
      <w:r>
        <w:t xml:space="preserve"> </w:t>
      </w:r>
      <w:r>
        <w:rPr>
          <w:bCs/>
          <w:b/>
        </w:rPr>
        <w:t xml:space="preserve">Mumbai India, one must analyze the local business environment.</w:t>
      </w:r>
      <w:r>
        <w:rPr>
          <w:bCs/>
          <w:b/>
        </w:rPr>
        <w:t xml:space="preserve"> </w:t>
      </w:r>
      <w:r>
        <w:rPr>
          <w:bCs/>
          <w:b/>
          <w:bCs/>
          <w:b/>
        </w:rPr>
        <w:t xml:space="preserve">Mumbai</w:t>
      </w:r>
    </w:p>
    <w:p>
      <w:pPr>
        <w:pStyle w:val="BodyText"/>
      </w:pPr>
      <w:r>
        <w:t xml:space="preserve">However operating in</w:t>
      </w:r>
    </w:p>
    <w:p>
      <w:pPr>
        <w:pStyle w:val="BodyText"/>
      </w:pPr>
      <w:r>
        <w:t xml:space="preserve">Mumbai India comes with distinct complexities. The regulatory framework involves navigating local municipal corporations (MCGM), state-level labor laws that differ from central guidelines, and intense competition across sectors ranging from banking and finance to entertainment media and real estate. A generic consulting approach fails here. Our</w:t>
      </w:r>
      <w:r>
        <w:t xml:space="preserve"> </w:t>
      </w:r>
      <w:r>
        <w:rPr>
          <w:bCs/>
          <w:b/>
        </w:rPr>
        <w:t xml:space="preserve">Business Consultant</w:t>
      </w:r>
      <w:r>
        <w:t xml:space="preserve"> </w:t>
      </w:r>
      <w:r>
        <w:t xml:space="preserve">team must possess deep hyper-local knowledge regarding zoning laws in South Bombay commercial hubs, industrial licensing in Mumbai’s suburbs, and the cultural nuances of doing business with diverse stakeholder groups across Maharashtra.</w:t>
      </w:r>
    </w:p>
    <w:bookmarkEnd w:id="21"/>
    <w:bookmarkStart w:id="25" w:name="scope-of-services-and-deliverables"/>
    <w:p>
      <w:pPr>
        <w:pStyle w:val="Heading2"/>
      </w:pPr>
      <w:r>
        <w:t xml:space="preserve">3. Scope of Services and Deliverables</w:t>
      </w:r>
    </w:p>
    <w:p>
      <w:pPr>
        <w:pStyle w:val="FirstParagraph"/>
      </w:pPr>
      <w:r>
        <w:t xml:space="preserve">This</w:t>
      </w:r>
      <w:r>
        <w:t xml:space="preserve"> </w:t>
      </w:r>
      <w:r>
        <w:rPr>
          <w:bCs/>
          <w:b/>
        </w:rPr>
        <w:t xml:space="preserve">Project Report</w:t>
      </w:r>
      <w:r>
        <w:t xml:space="preserve">Business ConsultantMumbai India. The services are categorized into three strategic pillars:</w:t>
      </w:r>
    </w:p>
    <w:bookmarkStart w:id="22" w:name="X0128bb9d1f92fd6cae6c2f33f94111ee9cb12a8"/>
    <w:p>
      <w:pPr>
        <w:pStyle w:val="Heading3"/>
      </w:pPr>
      <w:r>
        <w:t xml:space="preserve"> A. Regulatory Compliance and Risk Management</w:t>
      </w:r>
    </w:p>
    <w:p>
      <w:pPr>
        <w:pStyle w:val="FirstParagraph"/>
      </w:pPr>
      <w:r>
        <w:t xml:space="preserve">In</w:t>
      </w:r>
    </w:p>
    <w:p>
      <w:pPr>
        <w:pStyle w:val="BodyText"/>
      </w:pPr>
      <w:r>
        <w:t xml:space="preserve">Mumbai India, regulatory agility is crucial. Our consultants will assist clients in navigating GST compliance, labor union regulations which are prominent in Mumbai’s industrial sectors, and environmental clearances for infrastructure projects. We provide proactive risk audits to ensure that businesses operating in</w:t>
      </w:r>
    </w:p>
    <w:p>
      <w:pPr>
        <w:pStyle w:val="BodyText"/>
      </w:pPr>
      <w:r>
        <w:t xml:space="preserve">Mumbai remain compliant with the latest state and federal directives.</w:t>
      </w:r>
    </w:p>
    <w:bookmarkEnd w:id="22"/>
    <w:bookmarkStart w:id="23" w:name="b.-strategic-market-entry-and-expansion"/>
    <w:p>
      <w:pPr>
        <w:pStyle w:val="Heading3"/>
      </w:pPr>
      <w:r>
        <w:t xml:space="preserve">B. Strategic Market Entry and Expansion</w:t>
      </w:r>
    </w:p>
    <w:p>
      <w:pPr>
        <w:pStyle w:val="FirstParagraph"/>
      </w:pPr>
      <w:r>
        <w:t xml:space="preserve">For international firms looking to establish a presence in</w:t>
      </w:r>
    </w:p>
    <w:p>
      <w:pPr>
        <w:pStyle w:val="BodyText"/>
      </w:pPr>
      <w:r>
        <w:t xml:space="preserve">Mumbai India, our consultants offer go-to-market strategies tailored to the Mumbai demographic. This includes analyzing consumer behavior in high-density urban areas versus suburban markets, selecting optimal locations for physical retail or corporate offices, and identifying strategic local partnerships. We leverage data-driven insights specific to</w:t>
      </w:r>
    </w:p>
    <w:p>
      <w:pPr>
        <w:pStyle w:val="BodyText"/>
      </w:pPr>
      <w:r>
        <w:t xml:space="preserve">India Mumbai to minimize entry risks.</w:t>
      </w:r>
    </w:p>
    <w:bookmarkEnd w:id="23"/>
    <w:bookmarkStart w:id="24" w:name="X7ef3df9f47cc89906212ebda8b8a85927710132"/>
    <w:p>
      <w:pPr>
        <w:pStyle w:val="Heading3"/>
      </w:pPr>
      <w:r>
        <w:t xml:space="preserve"> C. Operational Efficiency and Digital Transformation</w:t>
      </w:r>
    </w:p>
    <w:p>
      <w:pPr>
        <w:pStyle w:val="FirstParagraph"/>
      </w:pPr>
      <w:r>
        <w:t xml:space="preserve">Mumbai India is rapidly digitizing. Our consulting services include digital transformation roadmaps for traditional businesses in the city. This involves integrating fintech solutions prevalent in</w:t>
      </w:r>
    </w:p>
    <w:p>
      <w:pPr>
        <w:pStyle w:val="BodyText"/>
      </w:pPr>
      <w:r>
        <w:t xml:space="preserve">Mumbai’s banking sector, optimizing supply chains within the port-led logistics network, and adopting AI-driven customer relationship management tools suitable for the local market language and preferences.</w:t>
      </w:r>
    </w:p>
    <w:bookmarkEnd w:id="24"/>
    <w:bookmarkEnd w:id="25"/>
    <w:bookmarkStart w:id="26" w:name="methodology-and-approach"/>
    <w:p>
      <w:pPr>
        <w:pStyle w:val="Heading2"/>
      </w:pPr>
      <w:r>
        <w:t xml:space="preserve">4. Methodology and Approach</w:t>
      </w:r>
    </w:p>
    <w:p>
      <w:pPr>
        <w:pStyle w:val="FirstParagraph"/>
      </w:pPr>
      <w:r>
        <w:t xml:space="preserve">The success of this</w:t>
      </w:r>
    </w:p>
    <w:p>
      <w:pPr>
        <w:pStyle w:val="BodyText"/>
      </w:pPr>
      <w:r>
        <w:t xml:space="preserve">Project Report's proposed framework relies on a structured yet flexible methodology designed for</w:t>
      </w:r>
    </w:p>
    <w:p>
      <w:pPr>
        <w:pStyle w:val="BodyText"/>
      </w:pPr>
      <w:r>
        <w:t xml:space="preserve">Mumbai India.</w:t>
      </w:r>
    </w:p>
    <w:p>
      <w:pPr>
        <w:numPr>
          <w:ilvl w:val="0"/>
          <w:numId w:val="1001"/>
        </w:numPr>
        <w:pStyle w:val="Compact"/>
      </w:pPr>
      <w:r>
        <w:rPr>
          <w:bCs/>
          <w:b/>
        </w:rPr>
        <w:t xml:space="preserve">D Phase:</w:t>
      </w:r>
      <w:r>
        <w:t xml:space="preserve">In-depth assessment of current client operations within the</w:t>
      </w:r>
    </w:p>
    <w:p>
      <w:pPr>
        <w:numPr>
          <w:ilvl w:val="0"/>
          <w:numId w:val="1000"/>
        </w:numPr>
        <w:pStyle w:val="Compact"/>
      </w:pPr>
      <w:r>
        <w:t xml:space="preserve">Mumbai India context. This includes stakeholder interviews, regulatory gap analysis, and market benchmarking against competitors in South Bombay and the Western Suburbs.</w:t>
      </w:r>
    </w:p>
    <w:p>
      <w:pPr>
        <w:numPr>
          <w:ilvl w:val="0"/>
          <w:numId w:val="1001"/>
        </w:numPr>
        <w:pStyle w:val="Compact"/>
      </w:pPr>
      <w:r>
        <w:rPr>
          <w:bCs/>
          <w:b/>
        </w:rPr>
        <w:t xml:space="preserve">C&amp; Construction:</w:t>
      </w:r>
      <w:r>
        <w:t xml:space="preserve"> </w:t>
      </w:r>
      <w:r>
        <w:t xml:space="preserve">Developing a customized blueprint for growth or compliance. Our</w:t>
      </w:r>
    </w:p>
    <w:p>
      <w:pPr>
        <w:numPr>
          <w:ilvl w:val="0"/>
          <w:numId w:val="1000"/>
        </w:numPr>
        <w:pStyle w:val="Compact"/>
      </w:pPr>
      <w:r>
        <w:t xml:space="preserve">Business Consultant team creates actionable plans that consider local labor dynamics and economic trends in</w:t>
      </w:r>
    </w:p>
    <w:p>
      <w:pPr>
        <w:numPr>
          <w:ilvl w:val="0"/>
          <w:numId w:val="1000"/>
        </w:numPr>
        <w:pStyle w:val="Compact"/>
      </w:pPr>
      <w:r>
        <w:t xml:space="preserve">Mumbai.</w:t>
      </w:r>
    </w:p>
    <w:bookmarkEnd w:id="26"/>
    <w:bookmarkStart w:id="27" w:name="challenges-and-mitigation-strategies"/>
    <w:p>
      <w:pPr>
        <w:pStyle w:val="Heading2"/>
      </w:pPr>
      <w:r>
        <w:t xml:space="preserve">5. Challenges and Mitigation Strategies</w:t>
      </w:r>
    </w:p>
    <w:p>
      <w:pPr>
        <w:pStyle w:val="FirstParagraph"/>
      </w:pPr>
      <w:r>
        <w:t xml:space="preserve">A thorough</w:t>
      </w:r>
      <w:r>
        <w:t xml:space="preserve"> </w:t>
      </w:r>
      <w:r>
        <w:rPr>
          <w:bCs/>
          <w:b/>
        </w:rPr>
        <w:t xml:space="preserve">Project Report Mumbai India </w:t>
      </w:r>
      <w:r>
        <w:br/>
      </w:r>
      <w:r>
        <w:t xml:space="preserve"> </w:t>
      </w:r>
      <w:r>
        <w:t xml:space="preserve">Mitigation Strategy:</w:t>
      </w:r>
    </w:p>
    <w:p>
      <w:pPr>
        <w:pStyle w:val="BodyText"/>
      </w:pPr>
      <w:r>
        <w:br/>
      </w:r>
      <w:r>
        <w:t xml:space="preserve"> &amp; /strong&gt; We recommend investing in local talent acquisition to ensure cultural alignment. Furthermore, leveraging technology for remote operations can mitigate physical infrastructure issues. Our</w:t>
      </w:r>
    </w:p>
    <w:p>
      <w:pPr>
        <w:pStyle w:val="BodyText"/>
      </w:pPr>
      <w:r>
        <w:t xml:space="preserve">Business Consultant Mumbai India </w:t>
      </w:r>
    </w:p>
    <w:p>
      <w:pPr>
        <w:pStyle w:val="BodyText"/>
      </w:pPr>
      <w:r>
        <w:br/>
      </w:r>
      <w:r>
        <w:t xml:space="preserve"> &amp; /strong&gt; regional nuances, ensuring that risks are identified and neutralized early in the process.</w:t>
      </w:r>
    </w:p>
    <w:bookmarkEnd w:id="27"/>
    <w:bookmarkStart w:id="28" w:name="financial-implications-and-roi"/>
    <w:p>
      <w:pPr>
        <w:pStyle w:val="Heading2"/>
      </w:pPr>
      <w:r>
        <w:t xml:space="preserve">6. Financial Implications and ROI</w:t>
      </w:r>
    </w:p>
    <w:p>
      <w:pPr>
        <w:pStyle w:val="FirstParagraph"/>
      </w:pPr>
      <w:r>
        <w:t xml:space="preserve">The investment in specialized</w:t>
      </w:r>
    </w:p>
    <w:p>
      <w:pPr>
        <w:pStyle w:val="BodyText"/>
      </w:pPr>
      <w:r>
        <w:t xml:space="preserve">Business Consultant Mumbai India </w:t>
      </w:r>
    </w:p>
    <w:p>
      <w:pPr>
        <w:pStyle w:val="BodyText"/>
      </w:pPr>
      <w:r>
        <w:br/>
      </w:r>
      <w:r>
        <w:t xml:space="preserve"> &amp; /strong&gt;is designed to yield substantial long-term returns. By avoiding regulatory fines, optimizing supply chains in a congested port city like</w:t>
      </w:r>
      <w:r>
        <w:t xml:space="preserve"> </w:t>
      </w:r>
      <w:r>
        <w:rPr>
          <w:bCs/>
          <w:b/>
        </w:rPr>
        <w:t xml:space="preserve">Mumbai</w:t>
      </w:r>
      <w:r>
        <w:t xml:space="preserve">, and capitalizing on high-growth sectors, clients typically see an improvement in operational efficiency by 15-20% within the first year. This</w:t>
      </w:r>
    </w:p>
    <w:p>
      <w:pPr>
        <w:pStyle w:val="BodyText"/>
      </w:pPr>
      <w:r>
        <w:t xml:space="preserve">Project Report </w:t>
      </w:r>
    </w:p>
    <w:p>
      <w:pPr>
        <w:pStyle w:val="BodyText"/>
      </w:pPr>
      <w:r>
        <w:br/>
      </w:r>
      <w:r>
        <w:t xml:space="preserve"> &amp; /strong&gt;estimates that the cost of consultancy is offset by the risk mitigation and revenue enhancement strategies implemented specifically for the</w:t>
      </w:r>
    </w:p>
    <w:p>
      <w:pPr>
        <w:pStyle w:val="BodyText"/>
      </w:pPr>
      <w:r>
        <w:t xml:space="preserve">Mumbai India</w:t>
      </w:r>
    </w:p>
    <w:p>
      <w:pPr>
        <w:pStyle w:val="BodyText"/>
      </w:pPr>
      <w:r>
        <w:br/>
      </w:r>
      <w:r>
        <w:t xml:space="preserve"> &amp; /strong&gt;market.</w:t>
      </w:r>
    </w:p>
    <w:bookmarkEnd w:id="28"/>
    <w:bookmarkStart w:id="29" w:name="conclusion-and-recommendations"/>
    <w:p>
      <w:pPr>
        <w:pStyle w:val="Heading2"/>
      </w:pPr>
      <w:r>
        <w:t xml:space="preserve">7. Conclusion and Recommendations</w:t>
      </w:r>
    </w:p>
    <w:p>
      <w:pPr>
        <w:pStyle w:val="FirstParagraph"/>
      </w:pPr>
      <w:r>
        <w:t xml:space="preserve">In conclusion, this</w:t>
      </w:r>
    </w:p>
    <w:p>
      <w:pPr>
        <w:pStyle w:val="BodyText"/>
      </w:pPr>
      <w:r>
        <w:t xml:space="preserve">Project Report </w:t>
      </w:r>
    </w:p>
    <w:p>
      <w:pPr>
        <w:pStyle w:val="BodyText"/>
      </w:pPr>
      <w:r>
        <w:br/>
      </w:r>
      <w:r>
        <w:t xml:space="preserve"> &amp; /strong&gt;affirms that establishing a robust</w:t>
      </w:r>
    </w:p>
    <w:p>
      <w:pPr>
        <w:pStyle w:val="BodyText"/>
      </w:pPr>
      <w:r>
        <w:t xml:space="preserve">Business Consultant Mumbai India </w:t>
      </w:r>
    </w:p>
    <w:p>
      <w:pPr>
        <w:pStyle w:val="BodyText"/>
      </w:pPr>
      <w:r>
        <w:br/>
      </w:r>
      <w:r>
        <w:t xml:space="preserve"> &amp; /strong&gt;. The city offers immense potential but requires precise navigation of its unique business landscape. We recommend immediate approval to proceed with the pilot phase, focusing initially on financial services and retail sectors in</w:t>
      </w:r>
    </w:p>
    <w:p>
      <w:pPr>
        <w:pStyle w:val="BodyText"/>
      </w:pPr>
      <w:r>
        <w:t xml:space="preserve">Mumbai India</w:t>
      </w:r>
    </w:p>
    <w:p>
      <w:pPr>
        <w:pStyle w:val="BodyText"/>
      </w:pPr>
      <w:r>
        <w:br/>
      </w:r>
      <w:r>
        <w:t xml:space="preserve"> &amp; /strong&gt;, leveraging our specialized expertise to drive sustainable growth and operational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India Mumbai</dc:title>
  <dc:creator/>
  <dc:language>en</dc:language>
  <cp:keywords/>
  <dcterms:created xsi:type="dcterms:W3CDTF">2026-07-29T18:22:09Z</dcterms:created>
  <dcterms:modified xsi:type="dcterms:W3CDTF">2026-07-29T18:22:09Z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