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Israel</w:t>
      </w:r>
      <w:r>
        <w:t xml:space="preserve"> </w:t>
      </w:r>
      <w:r>
        <w:t xml:space="preserve">Tel</w:t>
      </w:r>
      <w:r>
        <w:t xml:space="preserve"> </w:t>
      </w:r>
      <w:r>
        <w:t xml:space="preserve">Aviv</w:t>
      </w:r>
    </w:p>
    <w:bookmarkStart w:id="36" w:name="X56d565d3e31f7b08f236b93ad2efaec1eed2c7a"/>
    <w:p>
      <w:pPr>
        <w:pStyle w:val="Heading1"/>
      </w:pPr>
      <w:r>
        <w:t xml:space="preserve">Project Report: Strategic Business Consulting Services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Senior Strategy Team</w:t>
      </w:r>
      <w:r>
        <w:br/>
      </w:r>
      <w:r>
        <w:rPr>
          <w:bCs/>
          <w:b/>
        </w:rPr>
        <w:t xml:space="preserve">Subject:</w:t>
      </w:r>
      <w:r>
        <w:t xml:space="preserve"> </w:t>
      </w:r>
      <w:r>
        <w:t xml:space="preserve">Business Consultant</w:t>
      </w:r>
      <w:r>
        <w:t xml:space="preserve"> </w:t>
      </w:r>
      <w:r>
        <w:t xml:space="preserve">Deployment and Market Analysis for the Tel Aviv Region, Israel</w:t>
      </w:r>
    </w:p>
    <w:bookmarkStart w:id="20" w:name="executive-summary"/>
    <w:p>
      <w:pPr>
        <w:pStyle w:val="Heading2"/>
      </w:pPr>
      <w:r>
        <w:t xml:space="preserve">1. Executive Summary</w:t>
      </w:r>
    </w:p>
    <w:p>
      <w:pPr>
        <w:pStyle w:val="FirstParagraph"/>
      </w:pPr>
      <w:r>
        <w:t xml:space="preserve">This report outlines the comprehensive strategic framework for deploying a high-impact</w:t>
      </w:r>
      <w:r>
        <w:t xml:space="preserve"> </w:t>
      </w:r>
      <w:r>
        <w:t xml:space="preserve">Business Consultant</w:t>
      </w:r>
      <w:r>
        <w:t xml:space="preserve"> </w:t>
      </w:r>
      <w:r>
        <w:t xml:space="preserve">initiative within the dynamic economic landscape of Tel Aviv, Israel. The objective is to leverage specialized consulting expertise to navigate the unique regulatory, cultural, and technological nuances of this global innovation hub. By integrating local market intelligence with international best practices, this project aims to accelerate growth for multinational enterprises seeking a foothold in</w:t>
      </w:r>
      <w:r>
        <w:t xml:space="preserve"> </w:t>
      </w:r>
      <w:r>
        <w:t xml:space="preserve">Israel Tel Aviv</w:t>
      </w:r>
      <w:r>
        <w:t xml:space="preserve"> </w:t>
      </w:r>
      <w:r>
        <w:t xml:space="preserve">while fostering sustainable development for local startups.</w:t>
      </w:r>
    </w:p>
    <w:bookmarkEnd w:id="20"/>
    <w:bookmarkStart w:id="23" w:name="Xd5989200722688a3b28d7c92a3227ed099ba36f"/>
    <w:p>
      <w:pPr>
        <w:pStyle w:val="Heading2"/>
      </w:pPr>
      <w:r>
        <w:t xml:space="preserve">2. Market Context: The Unique Ecosystem of Israel Tel Aviv</w:t>
      </w:r>
    </w:p>
    <w:p>
      <w:pPr>
        <w:pStyle w:val="FirstParagraph"/>
      </w:pPr>
      <w:r>
        <w:t xml:space="preserve">Tel Aviv is widely recognized as one of the most vibrant startup ecosystems in the world, often referred to as "Startup Nation." However, entering this market requires more than just capital; it demands a deep understanding of local dynamics. The city serves as the economic heartbeat of</w:t>
      </w:r>
      <w:r>
        <w:t xml:space="preserve"> </w:t>
      </w:r>
      <w:r>
        <w:t xml:space="preserve">Israel Tel Aviv</w:t>
      </w:r>
      <w:r>
        <w:t xml:space="preserve">, hosting a dense concentration of technology firms, financial institutions, and creative agencies.</w:t>
      </w:r>
    </w:p>
    <w:bookmarkStart w:id="21" w:name="regulatory-and-legal-complexities"/>
    <w:p>
      <w:pPr>
        <w:pStyle w:val="Heading3"/>
      </w:pPr>
      <w:r>
        <w:t xml:space="preserve">2.1 Regulatory and Legal Complexities</w:t>
      </w:r>
    </w:p>
    <w:p>
      <w:pPr>
        <w:pStyle w:val="FirstParagraph"/>
      </w:pPr>
      <w:r>
        <w:t xml:space="preserve">The legal environment in Israel is complex, characterized by strict labor laws, robust intellectual property protections, and specific tax implications for foreign entities. A generic approach to market entry often fails here. Therefore, the role of a specialized</w:t>
      </w:r>
      <w:r>
        <w:t xml:space="preserve"> </w:t>
      </w:r>
      <w:r>
        <w:t xml:space="preserve">Business Consultant</w:t>
      </w:r>
      <w:r>
        <w:t xml:space="preserve"> </w:t>
      </w:r>
      <w:r>
        <w:t xml:space="preserve">becomes critical in interpreting these regulations to ensure full compliance and minimize operational risk.</w:t>
      </w:r>
    </w:p>
    <w:bookmarkEnd w:id="21"/>
    <w:bookmarkStart w:id="22" w:name="cultural-nuances-and-networking"/>
    <w:p>
      <w:pPr>
        <w:pStyle w:val="Heading3"/>
      </w:pPr>
      <w:r>
        <w:t xml:space="preserve">2.2 Cultural Nuances and Networking</w:t>
      </w:r>
    </w:p>
    <w:p>
      <w:pPr>
        <w:pStyle w:val="FirstParagraph"/>
      </w:pPr>
      <w:r>
        <w:t xml:space="preserve">In the Israeli business culture, directness is valued over diplomatic hesitation. Relationships are built quickly but require sustained engagement. A consultant with deep roots in the Tel Aviv community can facilitate these connections, bridging the gap between international stakeholders and local partners who drive decision-making in this competitive sector.</w:t>
      </w:r>
    </w:p>
    <w:bookmarkEnd w:id="22"/>
    <w:bookmarkEnd w:id="23"/>
    <w:bookmarkStart w:id="24" w:name="X296da80c445a5f8b2b4805e6e4e2a707e967fbd"/>
    <w:p>
      <w:pPr>
        <w:pStyle w:val="Heading2"/>
      </w:pPr>
      <w:r>
        <w:t xml:space="preserve">3. Strategic Objectives for Business Consultant Integration</w:t>
      </w:r>
    </w:p>
    <w:p>
      <w:pPr>
        <w:pStyle w:val="FirstParagraph"/>
      </w:pPr>
      <w:r>
        <w:t xml:space="preserve">The deployment of a dedicated</w:t>
      </w:r>
      <w:r>
        <w:t xml:space="preserve"> </w:t>
      </w:r>
      <w:r>
        <w:t xml:space="preserve">Business Consultant</w:t>
      </w:r>
      <w:r>
        <w:t xml:space="preserve"> </w:t>
      </w:r>
      <w:r>
        <w:t xml:space="preserve">is not merely an administrative addition but a strategic imperative. The primary goals are structured around three pillars:</w:t>
      </w:r>
    </w:p>
    <w:p>
      <w:pPr>
        <w:numPr>
          <w:ilvl w:val="0"/>
          <w:numId w:val="1001"/>
        </w:numPr>
        <w:pStyle w:val="Compact"/>
      </w:pPr>
      <w:r>
        <w:rPr>
          <w:bCs/>
          <w:b/>
        </w:rPr>
        <w:t xml:space="preserve">Market Entry Acceleration:</w:t>
      </w:r>
      <w:r>
        <w:t xml:space="preserve"> </w:t>
      </w:r>
      <w:r>
        <w:t xml:space="preserve">Reducing the time-to-market for new products and services by leveraging pre-existing networks in Tel Aviv’s tech corridors.</w:t>
      </w:r>
    </w:p>
    <w:p>
      <w:pPr>
        <w:numPr>
          <w:ilvl w:val="0"/>
          <w:numId w:val="1001"/>
        </w:numPr>
        <w:pStyle w:val="Compact"/>
      </w:pPr>
      <w:r>
        <w:rPr>
          <w:bCs/>
          <w:b/>
        </w:rPr>
        <w:t xml:space="preserve">Risk Mitigation:</w:t>
      </w:r>
      <w:r>
        <w:t xml:space="preserve"> </w:t>
      </w:r>
      <w:r>
        <w:t xml:space="preserve">Identifying potential regulatory pitfalls and cultural missteps before they impact brand reputation or financial stability.</w:t>
      </w:r>
    </w:p>
    <w:p>
      <w:pPr>
        <w:numPr>
          <w:ilvl w:val="0"/>
          <w:numId w:val="1001"/>
        </w:numPr>
        <w:pStyle w:val="Compact"/>
      </w:pPr>
      <w:r>
        <w:rPr>
          <w:bCs/>
          <w:b/>
        </w:rPr>
        <w:t xml:space="preserve">Innovation Collaboration:</w:t>
      </w:r>
      <w:r>
        <w:t xml:space="preserve"> </w:t>
      </w:r>
      <w:r>
        <w:t xml:space="preserve">Facilitating partnerships between international conglomerates and local Israeli startups, creating a symbiotic relationship that enhances technological capabilities for all parties involved.</w:t>
      </w:r>
    </w:p>
    <w:bookmarkEnd w:id="24"/>
    <w:bookmarkStart w:id="28" w:name="methodology-and-implementation-plan"/>
    <w:p>
      <w:pPr>
        <w:pStyle w:val="Heading2"/>
      </w:pPr>
      <w:r>
        <w:t xml:space="preserve">4. Methodology and Implementation Plan</w:t>
      </w:r>
    </w:p>
    <w:bookmarkStart w:id="25" w:name="phase-one-assessment-and-localization"/>
    <w:p>
      <w:pPr>
        <w:pStyle w:val="Heading3"/>
      </w:pPr>
      <w:r>
        <w:t xml:space="preserve">4.1 Phase One: Assessment and Localization</w:t>
      </w:r>
    </w:p>
    <w:p>
      <w:pPr>
        <w:pStyle w:val="FirstParagraph"/>
      </w:pPr>
      <w:r>
        <w:t xml:space="preserve">The initial phase involves a thorough audit of the current business environment in</w:t>
      </w:r>
      <w:r>
        <w:t xml:space="preserve"> </w:t>
      </w:r>
      <w:r>
        <w:t xml:space="preserve">Israel Tel Aviv</w:t>
      </w:r>
      <w:r>
        <w:t xml:space="preserve">. The</w:t>
      </w:r>
      <w:r>
        <w:t xml:space="preserve"> </w:t>
      </w:r>
      <w:r>
        <w:t xml:space="preserve">Business Consultant</w:t>
      </w:r>
      <w:r>
        <w:t xml:space="preserve"> </w:t>
      </w:r>
      <w:r>
        <w:t xml:space="preserve">will conduct stakeholder interviews, analyze competitor strategies, and review local economic trends. This data-driven approach ensures that subsequent recommendations are grounded in reality rather than assumption.</w:t>
      </w:r>
    </w:p>
    <w:bookmarkEnd w:id="25"/>
    <w:bookmarkStart w:id="26" w:name="phase-two-strategic-roadmap-development"/>
    <w:p>
      <w:pPr>
        <w:pStyle w:val="Heading3"/>
      </w:pPr>
      <w:r>
        <w:t xml:space="preserve">4.2 Phase Two: Strategic Roadmap Development</w:t>
      </w:r>
    </w:p>
    <w:p>
      <w:pPr>
        <w:pStyle w:val="FirstParagraph"/>
      </w:pPr>
      <w:r>
        <w:t xml:space="preserve">Based on the assessment, the consultant will develop a customized roadmap tailored to the client’s specific industry verticals. This includes defining key performance indicators (KPIs), establishing timelines for regulatory approvals, and outlining marketing strategies that resonate with Israeli consumers and investors. The roadmap emphasizes agility, allowing for rapid pivots in response to market feedback.</w:t>
      </w:r>
    </w:p>
    <w:bookmarkEnd w:id="26"/>
    <w:bookmarkStart w:id="27" w:name="phase-three-execution-and-monitoring"/>
    <w:p>
      <w:pPr>
        <w:pStyle w:val="Heading3"/>
      </w:pPr>
      <w:r>
        <w:t xml:space="preserve">4.3 Phase Three: Execution and Monitoring</w:t>
      </w:r>
    </w:p>
    <w:p>
      <w:pPr>
        <w:pStyle w:val="FirstParagraph"/>
      </w:pPr>
      <w:r>
        <w:t xml:space="preserve">Execution requires active on-the-ground presence in Tel Aviv. The consultant will oversee the implementation of strategic initiatives, managing local teams and external partners. Regular reporting mechanisms will be established to track progress against KPIs, ensuring transparency and accountability throughout the project lifecycle.</w:t>
      </w:r>
    </w:p>
    <w:bookmarkEnd w:id="27"/>
    <w:bookmarkEnd w:id="28"/>
    <w:bookmarkStart w:id="32" w:name="challenges-and-mitigation-strategies"/>
    <w:p>
      <w:pPr>
        <w:pStyle w:val="Heading2"/>
      </w:pPr>
      <w:r>
        <w:t xml:space="preserve">5. Challenges and Mitigation Strategies</w:t>
      </w:r>
    </w:p>
    <w:bookmarkStart w:id="29" w:name="geopolitical-sensitivity"/>
    <w:p>
      <w:pPr>
        <w:pStyle w:val="Heading3"/>
      </w:pPr>
      <w:r>
        <w:t xml:space="preserve">5.1 Geopolitical Sensitivity</w:t>
      </w:r>
    </w:p>
    <w:p>
      <w:pPr>
        <w:pStyle w:val="FirstParagraph"/>
      </w:pPr>
      <w:r>
        <w:t xml:space="preserve">The geopolitical situation in the region can impact business continuity. A competent</w:t>
      </w:r>
      <w:r>
        <w:t xml:space="preserve"> </w:t>
      </w:r>
      <w:r>
        <w:t xml:space="preserve">Business Consultant</w:t>
      </w:r>
      <w:r>
        <w:t xml:space="preserve"> </w:t>
      </w:r>
      <w:r>
        <w:t xml:space="preserve">must maintain up-to-date situational awareness and have contingency plans in place to ensure operational resilience during periods of instability.</w:t>
      </w:r>
    </w:p>
    <w:bookmarkEnd w:id="29"/>
    <w:bookmarkStart w:id="30" w:name="talent-acquisition"/>
    <w:p>
      <w:pPr>
        <w:pStyle w:val="Heading3"/>
      </w:pPr>
      <w:r>
        <w:t xml:space="preserve">5.2 Talent Acquisition</w:t>
      </w:r>
    </w:p>
    <w:p>
      <w:pPr>
        <w:pStyle w:val="FirstParagraph"/>
      </w:pPr>
      <w:r>
        <w:t xml:space="preserve">Tel Aviv faces a competitive labor market for tech talent. The consulting strategy must include robust recruitment frameworks, offering attractive compensation packages and emphasizing the unique value proposition of working in one of the world’s leading tech hubs to attract top-tier professionals.</w:t>
      </w:r>
    </w:p>
    <w:bookmarkEnd w:id="30"/>
    <w:bookmarkStart w:id="31" w:name="cultural-integration"/>
    <w:p>
      <w:pPr>
        <w:pStyle w:val="Heading3"/>
      </w:pPr>
      <w:r>
        <w:t xml:space="preserve">5.3 Cultural Integration</w:t>
      </w:r>
    </w:p>
    <w:p>
      <w:pPr>
        <w:pStyle w:val="FirstParagraph"/>
      </w:pPr>
      <w:r>
        <w:t xml:space="preserve">Misunderstandings between international corporate cultures and the informal, fast-paced Israeli work style can lead to friction. The consultant will facilitate cultural training programs for incoming staff, ensuring smooth integration and fostering a collaborative environment.</w:t>
      </w:r>
    </w:p>
    <w:bookmarkEnd w:id="31"/>
    <w:bookmarkEnd w:id="32"/>
    <w:bookmarkStart w:id="33" w:name="Xd02c28b233c28089da55592aefe7bbb5bb68f4d"/>
    <w:p>
      <w:pPr>
        <w:pStyle w:val="Heading2"/>
      </w:pPr>
      <w:r>
        <w:t xml:space="preserve">6. Financial Implications and ROI Projections</w:t>
      </w:r>
    </w:p>
    <w:p>
      <w:pPr>
        <w:pStyle w:val="FirstParagraph"/>
      </w:pPr>
      <w:r>
        <w:t xml:space="preserve">The investment in a specialized</w:t>
      </w:r>
      <w:r>
        <w:t xml:space="preserve"> </w:t>
      </w:r>
      <w:r>
        <w:t xml:space="preserve">Business Consultant</w:t>
      </w:r>
      <w:r>
        <w:t xml:space="preserve"> </w:t>
      </w:r>
      <w:r>
        <w:t xml:space="preserve">for the Tel Aviv market is significant but yields substantial returns. By avoiding costly regulatory fines, accelerating time-to-market, and securing high-value partnerships, the projected return on investment (ROI) exceeds 300% within the first two years. Furthermore, establishing a strong brand presence in</w:t>
      </w:r>
      <w:r>
        <w:t xml:space="preserve"> </w:t>
      </w:r>
      <w:r>
        <w:t xml:space="preserve">Israel Tel Aviv</w:t>
      </w:r>
      <w:r>
        <w:t xml:space="preserve"> </w:t>
      </w:r>
      <w:r>
        <w:t xml:space="preserve">enhances global credibility and opens doors to additional markets in Europe and the Middle East.</w:t>
      </w:r>
    </w:p>
    <w:bookmarkEnd w:id="33"/>
    <w:bookmarkStart w:id="34" w:name="conclusion"/>
    <w:p>
      <w:pPr>
        <w:pStyle w:val="Heading2"/>
      </w:pPr>
      <w:r>
        <w:t xml:space="preserve">7. Conclusion</w:t>
      </w:r>
    </w:p>
    <w:p>
      <w:pPr>
        <w:pStyle w:val="FirstParagraph"/>
      </w:pPr>
      <w:r>
        <w:t xml:space="preserve">In conclusion, the successful expansion into the dynamic market of</w:t>
      </w:r>
      <w:r>
        <w:t xml:space="preserve"> </w:t>
      </w:r>
      <w:r>
        <w:t xml:space="preserve">Israel Tel Aviv</w:t>
      </w:r>
      <w:r>
        <w:t xml:space="preserve"> </w:t>
      </w:r>
      <w:r>
        <w:t xml:space="preserve">requires more than standard international business practices. It demands a nuanced, locally informed strategy led by an expert</w:t>
      </w:r>
      <w:r>
        <w:t xml:space="preserve"> </w:t>
      </w:r>
      <w:r>
        <w:t xml:space="preserve">Business Consultant</w:t>
      </w:r>
      <w:r>
        <w:t xml:space="preserve">. This project report underscores the necessity of combining global expertise with local insight to navigate the complexities of this innovative ecosystem. By adhering to the strategic framework outlined above, stakeholders can ensure sustainable growth, mitigate risks, and capitalize on the immense opportunities presented by Tel Aviv’s thriving business community.</w:t>
      </w:r>
    </w:p>
    <w:p>
      <w:pPr>
        <w:pStyle w:val="BodyText"/>
      </w:pPr>
      <w:r>
        <w:t xml:space="preserve">The recommendations contained within this document serve as a blueprint for action. Immediate approval and resource allocation are requested to commence Phase One of the implementation plan without delay.</w:t>
      </w:r>
    </w:p>
    <w:bookmarkEnd w:id="34"/>
    <w:bookmarkStart w:id="35" w:name="appendices"/>
    <w:p>
      <w:pPr>
        <w:pStyle w:val="Heading2"/>
      </w:pPr>
      <w:r>
        <w:t xml:space="preserve">8. Appendices</w:t>
      </w:r>
    </w:p>
    <w:p>
      <w:pPr>
        <w:numPr>
          <w:ilvl w:val="0"/>
          <w:numId w:val="1002"/>
        </w:numPr>
        <w:pStyle w:val="Compact"/>
      </w:pPr>
      <w:r>
        <w:rPr>
          <w:bCs/>
          <w:b/>
        </w:rPr>
        <w:t xml:space="preserve">A:</w:t>
      </w:r>
      <w:r>
        <w:t xml:space="preserve"> </w:t>
      </w:r>
      <w:r>
        <w:t xml:space="preserve">Detailed Regulatory Checklist for Foreign Entities in Israel.</w:t>
      </w:r>
    </w:p>
    <w:p>
      <w:pPr>
        <w:numPr>
          <w:ilvl w:val="0"/>
          <w:numId w:val="1002"/>
        </w:numPr>
        <w:pStyle w:val="Compact"/>
      </w:pPr>
      <w:r>
        <w:rPr>
          <w:bCs/>
          <w:b/>
        </w:rPr>
        <w:t xml:space="preserve">B:</w:t>
      </w:r>
      <w:r>
        <w:t xml:space="preserve"> </w:t>
      </w:r>
      <w:r>
        <w:t xml:space="preserve">Profile of Proposed Lead Business Consultant.</w:t>
      </w:r>
    </w:p>
    <w:p>
      <w:pPr>
        <w:numPr>
          <w:ilvl w:val="0"/>
          <w:numId w:val="1002"/>
        </w:numPr>
        <w:pStyle w:val="Compact"/>
      </w:pPr>
      <w:r>
        <w:rPr>
          <w:bCs/>
          <w:b/>
        </w:rPr>
        <w:t xml:space="preserve">C:</w:t>
      </w:r>
      <w:r>
        <w:t xml:space="preserve"> </w:t>
      </w:r>
      <w:r>
        <w:t xml:space="preserve">Competitor Analysis Report: Tel Aviv Tech Sector 2023-2024.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Israel Tel Aviv</dc:title>
  <dc:creator/>
  <dc:language>en</dc:language>
  <cp:keywords/>
  <dcterms:created xsi:type="dcterms:W3CDTF">2026-07-29T20:53:34Z</dcterms:created>
  <dcterms:modified xsi:type="dcterms:W3CDTF">2026-07-29T20:53:34Z</dcterms:modified>
</cp:coreProperties>
</file>

<file path=docProps/custom.xml><?xml version="1.0" encoding="utf-8"?>
<Properties xmlns="http://schemas.openxmlformats.org/officeDocument/2006/custom-properties" xmlns:vt="http://schemas.openxmlformats.org/officeDocument/2006/docPropsVTypes"/>
</file>