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a4c84b2eee8d19b13f4d8b26d1234ca3348ad8b"/>
    <w:p>
      <w:pPr>
        <w:pStyle w:val="Heading1"/>
      </w:pPr>
      <w:r>
        <w:t xml:space="preserve">Project Report for Business Consultant in Netherlands Amsterdam</w:t>
      </w:r>
    </w:p>
    <w:p>
      <w:pPr>
        <w:pStyle w:val="FirstParagraph"/>
      </w:pPr>
      <w:r>
        <w:rPr>
          <w:bCs/>
          <w:b/>
        </w:rPr>
        <w:t xml:space="preserve">Date:</w:t>
      </w:r>
    </w:p>
    <w:p>
      <w:pPr>
        <w:pStyle w:val="BodyText"/>
      </w:pPr>
      <w:r>
        <w:t xml:space="preserve">This project report details the strategic implementation and operational framework of a new Business Consultant initiative specifically tailored for the dynamic corporate environment of Netherlands Amsterdam. The document outlines market analysis, regulatory compliance, service offerings, and projected outcomes for establishing a high-impact consultancy presence in this major European hub.</w:t>
      </w:r>
    </w:p>
    <w:bookmarkStart w:id="20" w:name="executive-summary"/>
    <w:p>
      <w:pPr>
        <w:pStyle w:val="Heading2"/>
      </w:pPr>
      <w:r>
        <w:t xml:space="preserve">1. Executive Summary</w:t>
      </w:r>
    </w:p>
    <w:p>
      <w:pPr>
        <w:pStyle w:val="FirstParagraph"/>
      </w:pPr>
      <w:r>
        <w:t xml:space="preserve">Netherlands Amsterdam stands as one of the most competitive and innovative business ecosystems in Europe. With its status as a global financial center, a hub for technology startups, and a gateway to international trade, the demand for specialized Business Consultant services is at an all-time high. This project report outlines our strategy to introduce comprehensive consulting solutions that address local market nuances while leveraging Amsterdam's unique economic advantages.</w:t>
      </w:r>
    </w:p>
    <w:p>
      <w:pPr>
        <w:pStyle w:val="BodyText"/>
      </w:pPr>
      <w:r>
        <w:t xml:space="preserve">The primary objective of this initiative is to empower local enterprises and multinational corporations alike with strategic insights, operational efficiency improvements, and growth-oriented frameworks. By focusing on the specific needs of businesses operating within Netherlands Amsterdam, we aim to deliver tangible value through tailored advisory services.</w:t>
      </w:r>
    </w:p>
    <w:bookmarkEnd w:id="20"/>
    <w:bookmarkStart w:id="21" w:name="X70e61d405170fb6d277540ec13b9aea930eb41f"/>
    <w:p>
      <w:pPr>
        <w:pStyle w:val="Heading2"/>
      </w:pPr>
      <w:r>
        <w:t xml:space="preserve">2. Market Analysis: The Netherlands Amsterdam Landscape</w:t>
      </w:r>
    </w:p>
    <w:p>
      <w:pPr>
        <w:pStyle w:val="FirstParagraph"/>
      </w:pPr>
      <w:r>
        <w:t xml:space="preserve">The business environment in Netherlands Amsterdam is characterized by its openness to international talent, robust infrastructure, and a strong emphasis on sustainability. Key sectors driving growth include fintech, logistics, digital innovation, and renewable energy.</w:t>
      </w:r>
    </w:p>
    <w:p>
      <w:pPr>
        <w:numPr>
          <w:ilvl w:val="0"/>
          <w:numId w:val="1001"/>
        </w:numPr>
        <w:pStyle w:val="Compact"/>
      </w:pPr>
      <w:r>
        <w:rPr>
          <w:bCs/>
          <w:b/>
        </w:rPr>
        <w:t xml:space="preserve">Digital Innovation:</w:t>
      </w:r>
    </w:p>
    <w:p>
      <w:pPr>
        <w:numPr>
          <w:ilvl w:val="0"/>
          <w:numId w:val="1000"/>
        </w:numPr>
        <w:pStyle w:val="Compact"/>
      </w:pPr>
      <w:r>
        <w:t xml:space="preserve">Amsterdam has emerged as a leading hub for digital transformation. Companies are actively seeking Business Consultant partners to navigate the complexities of adopting AI, cloud computing, and cybersecurity measures.</w:t>
      </w:r>
    </w:p>
    <w:p>
      <w:pPr>
        <w:numPr>
          <w:ilvl w:val="0"/>
          <w:numId w:val="1001"/>
        </w:numPr>
        <w:pStyle w:val="Compact"/>
      </w:pPr>
      <w:r>
        <w:t xml:space="preserve">Sustainability &amp; ESG:</w:t>
      </w:r>
    </w:p>
    <w:p>
      <w:pPr>
        <w:numPr>
          <w:ilvl w:val="0"/>
          <w:numId w:val="1000"/>
        </w:numPr>
        <w:pStyle w:val="Compact"/>
      </w:pPr>
      <w:r>
        <w:t xml:space="preserve">The Netherlands has set ambitious goals for carbon neutrality by 2050. Businesses in Amsterdam are under pressure to align with Environmental, Social, and Governance (ESG) criteria. Our consultancy will provide expert guidance on sustainable business practices and green financing.</w:t>
      </w:r>
    </w:p>
    <w:p>
      <w:pPr>
        <w:numPr>
          <w:ilvl w:val="0"/>
          <w:numId w:val="1001"/>
        </w:numPr>
        <w:pStyle w:val="Compact"/>
      </w:pPr>
      <w:r>
        <w:t xml:space="preserve">International Trade:</w:t>
      </w:r>
    </w:p>
    <w:p>
      <w:pPr>
        <w:numPr>
          <w:ilvl w:val="0"/>
          <w:numId w:val="1000"/>
        </w:numPr>
        <w:pStyle w:val="Compact"/>
      </w:pPr>
      <w:r>
        <w:t xml:space="preserve">Due to its strategic location and world-class port facilities, Netherlands Amsterdam is a critical node for global logistics. Consulting services focused on supply chain optimization and cross-border regulatory compliance are in high demand.</w:t>
      </w:r>
    </w:p>
    <w:bookmarkEnd w:id="21"/>
    <w:bookmarkStart w:id="22" w:name="regulatory-compliance-legal-framework"/>
    <w:p>
      <w:pPr>
        <w:pStyle w:val="Heading2"/>
      </w:pPr>
      <w:r>
        <w:t xml:space="preserve">3. Regulatory Compliance &amp; Legal Framework</w:t>
      </w:r>
    </w:p>
    <w:p>
      <w:pPr>
        <w:pStyle w:val="FirstParagraph"/>
      </w:pPr>
      <w:r>
        <w:t xml:space="preserve">Operating as a Business Consultant in Netherlands Amsterdam requires strict adherence to local regulations. The Netherlands Chamber of Commerce (KVK) mandates registration for all business entities. Additionally, consultants must comply with Dutch labor laws, tax regulations, and data protection standards aligned with the General Data Protection Regulation (GDPR).</w:t>
      </w:r>
    </w:p>
    <w:p>
      <w:pPr>
        <w:pStyle w:val="BodyText"/>
      </w:pPr>
      <w:r>
        <w:t xml:space="preserve">This project report emphasizes the importance of establishing a robust compliance framework from day one. Key areas include:</w:t>
      </w:r>
    </w:p>
    <w:p>
      <w:pPr>
        <w:numPr>
          <w:ilvl w:val="0"/>
          <w:numId w:val="1002"/>
        </w:numPr>
        <w:pStyle w:val="Compact"/>
      </w:pPr>
      <w:r>
        <w:rPr>
          <w:bCs/>
          <w:b/>
        </w:rPr>
        <w:t xml:space="preserve">Taxation:</w:t>
      </w:r>
    </w:p>
    <w:p>
      <w:pPr>
        <w:numPr>
          <w:ilvl w:val="0"/>
          <w:numId w:val="1000"/>
        </w:numPr>
        <w:pStyle w:val="Compact"/>
      </w:pPr>
      <w:r>
        <w:t xml:space="preserve">Netherlands Amsterdam businesses are subject to corporate income tax and value-added tax (VAT). Our consultancy will assist clients in optimizing their tax strategies while ensuring full compliance.</w:t>
      </w:r>
    </w:p>
    <w:p>
      <w:pPr>
        <w:numPr>
          <w:ilvl w:val="0"/>
          <w:numId w:val="1002"/>
        </w:numPr>
        <w:pStyle w:val="Compact"/>
      </w:pPr>
      <w:r>
        <w:t xml:space="preserve">Labor Laws:</w:t>
      </w:r>
    </w:p>
    <w:p>
      <w:pPr>
        <w:numPr>
          <w:ilvl w:val="0"/>
          <w:numId w:val="1000"/>
        </w:numPr>
        <w:pStyle w:val="Compact"/>
      </w:pPr>
      <w:r>
        <w:t xml:space="preserve">The Dutch labor market is highly regulated. We offer specialized services in HR consulting, helping businesses navigate employment contracts, collective bargaining agreements, and expatriate management.</w:t>
      </w:r>
    </w:p>
    <w:p>
      <w:pPr>
        <w:numPr>
          <w:ilvl w:val="0"/>
          <w:numId w:val="1002"/>
        </w:numPr>
        <w:pStyle w:val="Compact"/>
      </w:pPr>
      <w:r>
        <w:t xml:space="preserve">Data Privacy:</w:t>
      </w:r>
    </w:p>
    <w:p>
      <w:pPr>
        <w:numPr>
          <w:ilvl w:val="0"/>
          <w:numId w:val="1000"/>
        </w:numPr>
        <w:pStyle w:val="Compact"/>
      </w:pPr>
      <w:r>
        <w:t xml:space="preserve">Given the strict GDPR enforcement in Europe, protecting client data is paramount. Our consultants are trained to implement best practices for data security and privacy compliance.</w:t>
      </w:r>
    </w:p>
    <w:bookmarkEnd w:id="22"/>
    <w:bookmarkStart w:id="23" w:name="service-offerings"/>
    <w:p>
      <w:pPr>
        <w:pStyle w:val="Heading2"/>
      </w:pPr>
      <w:r>
        <w:t xml:space="preserve">4. Service Offerings</w:t>
      </w:r>
    </w:p>
    <w:p>
      <w:pPr>
        <w:pStyle w:val="FirstParagraph"/>
      </w:pPr>
      <w:r>
        <w:t xml:space="preserve">To address the diverse needs of businesses in Netherlands Amsterdam, our Business Consultant portfolio includes the following core services:</w:t>
      </w:r>
    </w:p>
    <w:p>
      <w:pPr>
        <w:numPr>
          <w:ilvl w:val="0"/>
          <w:numId w:val="1003"/>
        </w:numPr>
        <w:pStyle w:val="Compact"/>
      </w:pPr>
      <w:r>
        <w:rPr>
          <w:bCs/>
          <w:b/>
        </w:rPr>
        <w:t xml:space="preserve">Strategic Planning:</w:t>
      </w:r>
    </w:p>
    <w:p>
      <w:pPr>
        <w:numPr>
          <w:ilvl w:val="0"/>
          <w:numId w:val="1000"/>
        </w:numPr>
        <w:pStyle w:val="Compact"/>
      </w:pPr>
      <w:r>
        <w:t xml:space="preserve">We help companies define their long-term vision, identify market opportunities, and develop actionable strategies for growth. This includes competitive analysis and positioning within the Netherlands Amsterdam market.</w:t>
      </w:r>
    </w:p>
    <w:p>
      <w:pPr>
        <w:numPr>
          <w:ilvl w:val="0"/>
          <w:numId w:val="1003"/>
        </w:numPr>
        <w:pStyle w:val="Compact"/>
      </w:pPr>
      <w:r>
        <w:t xml:space="preserve">Operational Efficiency:</w:t>
      </w:r>
    </w:p>
    <w:p>
      <w:pPr>
        <w:numPr>
          <w:ilvl w:val="0"/>
          <w:numId w:val="1000"/>
        </w:numPr>
        <w:pStyle w:val="Compact"/>
      </w:pPr>
      <w:r>
        <w:t xml:space="preserve">Through process mapping and lean management principles, we assist businesses in reducing waste, improving productivity, and enhancing overall operational performance.</w:t>
      </w:r>
    </w:p>
    <w:p>
      <w:pPr>
        <w:numPr>
          <w:ilvl w:val="0"/>
          <w:numId w:val="1003"/>
        </w:numPr>
        <w:pStyle w:val="Compact"/>
      </w:pPr>
      <w:r>
        <w:t xml:space="preserve">Digital Transformation:</w:t>
      </w:r>
    </w:p>
    <w:p>
      <w:pPr>
        <w:numPr>
          <w:ilvl w:val="0"/>
          <w:numId w:val="1000"/>
        </w:numPr>
        <w:pStyle w:val="Compact"/>
      </w:pPr>
      <w:r>
        <w:t xml:space="preserve">We guide organizations through the digital journey, from technology assessment to implementation. This includes integrating new software solutions and upskilling employees for digital roles.</w:t>
      </w:r>
    </w:p>
    <w:p>
      <w:pPr>
        <w:numPr>
          <w:ilvl w:val="0"/>
          <w:numId w:val="1003"/>
        </w:numPr>
        <w:pStyle w:val="Compact"/>
      </w:pPr>
      <w:r>
        <w:t xml:space="preserve">Sustainability Consulting:</w:t>
      </w:r>
    </w:p>
    <w:p>
      <w:pPr>
        <w:numPr>
          <w:ilvl w:val="0"/>
          <w:numId w:val="1000"/>
        </w:numPr>
        <w:pStyle w:val="Compact"/>
      </w:pPr>
      <w:r>
        <w:t xml:space="preserve">Our ESG specialists provide roadmaps for achieving sustainability goals, including carbon footprint reduction, sustainable sourcing, and green reporting.</w:t>
      </w:r>
    </w:p>
    <w:p>
      <w:pPr>
        <w:numPr>
          <w:ilvl w:val="0"/>
          <w:numId w:val="1003"/>
        </w:numPr>
        <w:pStyle w:val="Compact"/>
      </w:pPr>
      <w:r>
        <w:t xml:space="preserve">Mergers &amp; Acquisitions (M&amp;A):</w:t>
      </w:r>
    </w:p>
    <w:p>
      <w:pPr>
        <w:numPr>
          <w:ilvl w:val="0"/>
          <w:numId w:val="1000"/>
        </w:numPr>
        <w:pStyle w:val="Compact"/>
      </w:pPr>
      <w:r>
        <w:t xml:space="preserve">We offer advisory services for M&amp;A activities, helping clients evaluate opportunities, conduct due diligence, and manage post-merger integration in the Netherlands Amsterdam context.</w:t>
      </w:r>
    </w:p>
    <w:bookmarkEnd w:id="23"/>
    <w:bookmarkStart w:id="24" w:name="implementation-strategy"/>
    <w:p>
      <w:pPr>
        <w:pStyle w:val="Heading2"/>
      </w:pPr>
      <w:r>
        <w:t xml:space="preserve">5. Implementation Strategy</w:t>
      </w:r>
    </w:p>
    <w:p>
      <w:pPr>
        <w:pStyle w:val="FirstParagraph"/>
      </w:pPr>
      <w:r>
        <w:t xml:space="preserve">The successful rollout of our Business Consultant services in Netherlands Amsterdam will follow a phased approach:</w:t>
      </w:r>
    </w:p>
    <w:p>
      <w:pPr>
        <w:numPr>
          <w:ilvl w:val="0"/>
          <w:numId w:val="1004"/>
        </w:numPr>
        <w:pStyle w:val="Compact"/>
      </w:pPr>
      <w:r>
        <w:rPr>
          <w:bCs/>
          <w:b/>
        </w:rPr>
        <w:t xml:space="preserve">Phase 1: Market Entry &amp; Setup (Months 1-3):</w:t>
      </w:r>
    </w:p>
    <w:p>
      <w:pPr>
        <w:numPr>
          <w:ilvl w:val="0"/>
          <w:numId w:val="1000"/>
        </w:numPr>
        <w:pStyle w:val="Compact"/>
      </w:pPr>
      <w:r>
        <w:t xml:space="preserve">This phase involves registering the business with the KVK, setting up office space in central Amsterdam, and building a team of experienced consultants with local expertise.</w:t>
      </w:r>
    </w:p>
    <w:p>
      <w:pPr>
        <w:numPr>
          <w:ilvl w:val="0"/>
          <w:numId w:val="1004"/>
        </w:numPr>
        <w:pStyle w:val="Compact"/>
      </w:pPr>
      <w:r>
        <w:t xml:space="preserve">Phase 2: Client Acquisition &amp; Partnership Development (Months 4-6):</w:t>
      </w:r>
    </w:p>
    <w:p>
      <w:pPr>
        <w:numPr>
          <w:ilvl w:val="0"/>
          <w:numId w:val="1000"/>
        </w:numPr>
        <w:pStyle w:val="Compact"/>
      </w:pPr>
      <w:r>
        <w:t xml:space="preserve">We will engage in targeted marketing campaigns, attend industry events, and form partnerships with local business networks to build our client base.</w:t>
      </w:r>
    </w:p>
    <w:p>
      <w:pPr>
        <w:numPr>
          <w:ilvl w:val="0"/>
          <w:numId w:val="1004"/>
        </w:numPr>
        <w:pStyle w:val="Compact"/>
      </w:pPr>
      <w:r>
        <w:t xml:space="preserve">Phase 3: Service Delivery &amp; Expansion (Months 7-12):</w:t>
      </w:r>
    </w:p>
    <w:p>
      <w:pPr>
        <w:numPr>
          <w:ilvl w:val="0"/>
          <w:numId w:val="1000"/>
        </w:numPr>
        <w:pStyle w:val="Compact"/>
      </w:pPr>
      <w:r>
        <w:t xml:space="preserve">With a solid foundation established, we will begin delivering projects to clients. Feedback loops will be implemented to refine our services and expand into adjacent markets within the Netherlands.</w:t>
      </w:r>
    </w:p>
    <w:bookmarkEnd w:id="24"/>
    <w:bookmarkStart w:id="25" w:name="financial-projections-budget"/>
    <w:p>
      <w:pPr>
        <w:pStyle w:val="Heading2"/>
      </w:pPr>
      <w:r>
        <w:t xml:space="preserve">6. Financial Projections &amp; Budget</w:t>
      </w:r>
    </w:p>
    <w:p>
      <w:pPr>
        <w:numPr>
          <w:ilvl w:val="0"/>
          <w:numId w:val="1005"/>
        </w:numPr>
        <w:pStyle w:val="Compact"/>
      </w:pPr>
      <w:r>
        <w:rPr>
          <w:bCs/>
          <w:b/>
        </w:rPr>
        <w:t xml:space="preserve">Initial Investment:</w:t>
      </w:r>
    </w:p>
    <w:p>
      <w:pPr>
        <w:numPr>
          <w:ilvl w:val="0"/>
          <w:numId w:val="1000"/>
        </w:numPr>
        <w:pStyle w:val="Compact"/>
      </w:pPr>
      <w:r>
        <w:t xml:space="preserve">The startup costs include office rental, legal fees, marketing expenses, and personnel salaries. A detailed budget has been prepared to ensure efficient resource allocation.</w:t>
      </w:r>
    </w:p>
    <w:p>
      <w:pPr>
        <w:numPr>
          <w:ilvl w:val="0"/>
          <w:numId w:val="1005"/>
        </w:numPr>
        <w:pStyle w:val="Compact"/>
      </w:pPr>
      <w:r>
        <w:t xml:space="preserve">Revenue Streams:</w:t>
      </w:r>
    </w:p>
    <w:p>
      <w:pPr>
        <w:numPr>
          <w:ilvl w:val="0"/>
          <w:numId w:val="1000"/>
        </w:numPr>
        <w:pStyle w:val="Compact"/>
      </w:pPr>
      <w:r>
        <w:t xml:space="preserve">Revenue will be generated through project-based fees, retainer contracts, and training workshops. We anticipate reaching profitability within the first 18 months of operation.</w:t>
      </w:r>
    </w:p>
    <w:bookmarkEnd w:id="25"/>
    <w:bookmarkStart w:id="26" w:name="conclusion"/>
    <w:p>
      <w:pPr>
        <w:pStyle w:val="Heading2"/>
      </w:pPr>
      <w:r>
        <w:t xml:space="preserve">7. Conclusion</w:t>
      </w:r>
    </w:p>
    <w:p>
      <w:pPr>
        <w:pStyle w:val="FirstParagraph"/>
      </w:pPr>
      <w:r>
        <w:t xml:space="preserve">The establishment of a Business Consultant firm in Netherlands Amsterdam presents a significant opportunity to capitalize on the region's thriving business ecosystem. By focusing on key sectors such as digital innovation, sustainability, and international trade, and by adhering to strict regulatory standards, we are well-positioned to become a trusted advisor for businesses in the area.</w:t>
      </w:r>
    </w:p>
    <w:p>
      <w:pPr>
        <w:pStyle w:val="BodyText"/>
      </w:pPr>
      <w:r>
        <w:t xml:space="preserve">This project report serves as a comprehensive guide for our strategic journey. With a clear understanding of the market dynamics in Netherlands Amsterdam and a robust service offering, we are confident in our ability to deliver exceptional value to our clients and achieve sustainable growth.</w:t>
      </w:r>
    </w:p>
    <w:p>
      <w:pPr>
        <w:pStyle w:val="BodyText"/>
      </w:pP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in Netherlands Amsterdam</dc:title>
  <dc:creator/>
  <dc:language>en</dc:language>
  <cp:keywords/>
  <dcterms:created xsi:type="dcterms:W3CDTF">2026-07-29T12:08:43Z</dcterms:created>
  <dcterms:modified xsi:type="dcterms:W3CDTF">2026-07-29T12:08:43Z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