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Services</w:t>
      </w:r>
      <w:r>
        <w:t xml:space="preserve"> </w:t>
      </w:r>
      <w:r>
        <w:t xml:space="preserve">Project</w:t>
      </w:r>
      <w:r>
        <w:t xml:space="preserve"> </w:t>
      </w:r>
      <w:r>
        <w:t xml:space="preserve">Report:</w:t>
      </w:r>
      <w:r>
        <w:t xml:space="preserve"> </w:t>
      </w:r>
      <w:r>
        <w:t xml:space="preserve">New</w:t>
      </w:r>
      <w:r>
        <w:t xml:space="preserve"> </w:t>
      </w:r>
      <w:r>
        <w:t xml:space="preserve">Zealand</w:t>
      </w:r>
      <w:r>
        <w:t xml:space="preserve"> </w:t>
      </w:r>
      <w:r>
        <w:t xml:space="preserve">Auckland</w:t>
      </w:r>
    </w:p>
    <w:bookmarkStart w:id="26" w:name="X61e0d467561a66693fb51ebf4e3cef2f524b1d3"/>
    <w:p>
      <w:pPr>
        <w:pStyle w:val="Heading1"/>
      </w:pPr>
      <w:r>
        <w:t xml:space="preserve">Carpentry Services Project Report: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Stakeholders and Municipal Planning Committees</w:t>
      </w:r>
      <w:r>
        <w:br/>
      </w:r>
      <w:r>
        <w:rPr>
          <w:bCs/>
          <w:b/>
        </w:rPr>
        <w:t xml:space="preserve">From:</w:t>
      </w:r>
      <w:r>
        <w:t xml:space="preserve"> </w:t>
      </w:r>
      <w:r>
        <w:t xml:space="preserve">Senior Project Management Team</w:t>
      </w:r>
      <w:r>
        <w:br/>
      </w:r>
    </w:p>
    <w:bookmarkStart w:id="20" w:name="executive-summary"/>
    <w:p>
      <w:pPr>
        <w:pStyle w:val="Heading2"/>
      </w:pPr>
      <w:r>
        <w:t xml:space="preserve">1. Executive Summary</w:t>
      </w:r>
    </w:p>
    <w:p>
      <w:pPr>
        <w:pStyle w:val="FirstParagraph"/>
      </w:pPr>
      <w:r>
        <w:t xml:space="preserve">This comprehensive report serves as a detailed examination of the carpentry sector within the dynamic environment of New Zealand Auckland. As one of the most rapidly growing cities in Oceania, Auckland presents unique challenges and opportunities for skilled tradespeople, particularly those specializing in high-quality woodworking and structural construction The primary objective this document is to outline standard operating procedures, regulatory compliance requirements specific to</w:t>
      </w:r>
      <w:r>
        <w:t xml:space="preserve"> </w:t>
      </w:r>
      <w:r>
        <w:rPr>
          <w:bCs/>
          <w:b/>
        </w:rPr>
        <w:t xml:space="preserve">New Zealand Auckland</w:t>
      </w:r>
      <w:r>
        <w:t xml:space="preserve">, safety protocols using relevant health and safety legislation (such as the Health and Safety at Work Act 2015), projected timelines for residential projects, quality assurance metrics. By focusing on the role of a professional</w:t>
      </w:r>
      <w:r>
        <w:t xml:space="preserve"> </w:t>
      </w:r>
      <w:r>
        <w:rPr>
          <w:bCs/>
          <w:b/>
        </w:rPr>
        <w:t xml:space="preserve">Carpenter</w:t>
      </w:r>
      <w:r>
        <w:t xml:space="preserve"> </w:t>
      </w:r>
      <w:r>
        <w:t xml:space="preserve">in this region, we aim to provide stakeholders with a clear understanding of how traditional craftsmanship meets modern construction demands in an urban setting.</w:t>
      </w:r>
    </w:p>
    <w:bookmarkEnd w:id="20"/>
    <w:bookmarkStart w:id="21" w:name="Xa72c9e0144dd8846897844b97575a0ba8296806"/>
    <w:p>
      <w:pPr>
        <w:pStyle w:val="Heading2"/>
      </w:pPr>
      <w:r>
        <w:t xml:space="preserve">2. Market Context: The Role of the Carpenter in New Zealand Auckland</w:t>
      </w:r>
    </w:p>
    <w:p>
      <w:pPr>
        <w:pStyle w:val="FirstParagraph"/>
      </w:pPr>
      <w:r>
        <w:t xml:space="preserve">The city of Auckland is currently experiencing unprecedented population growth, leading to increased demand for both new builds and renovations. In this context, the</w:t>
      </w:r>
      <w:r>
        <w:t xml:space="preserve"> </w:t>
      </w:r>
      <w:r>
        <w:rPr>
          <w:bCs/>
          <w:b/>
        </w:rPr>
        <w:t xml:space="preserve">Carpenter</w:t>
      </w:r>
      <w:r>
        <w:t xml:space="preserve"> </w:t>
      </w:r>
      <w:r>
        <w:t xml:space="preserve">plays a pivotal role not only in structural integrity but also in aesthetic enhancement. Unlike other regions where mass-production methods might dominate, the</w:t>
      </w:r>
      <w:r>
        <w:t xml:space="preserve"> </w:t>
      </w:r>
      <w:r>
        <w:rPr>
          <w:bCs/>
          <w:b/>
        </w:rPr>
        <w:t xml:space="preserve">New Zealand Auckland</w:t>
      </w:r>
      <w:r>
        <w:t xml:space="preserve"> </w:t>
      </w:r>
      <w:r>
        <w:t xml:space="preserve">market often emphasizes bespoke solutions due to its unique topography and housing stock.</w:t>
      </w:r>
    </w:p>
    <w:p>
      <w:pPr>
        <w:pStyle w:val="BodyText"/>
      </w:pPr>
      <w:r>
        <w:t xml:space="preserve">The local climate of</w:t>
      </w:r>
    </w:p>
    <w:p>
      <w:pPr>
        <w:pStyle w:val="BodyText"/>
      </w:pPr>
      <w:r>
        <w:t xml:space="preserve">New Zealand Auckland, characterized by high humidity and salt air proximity, requires specific material selections. A skilled carpenter must understand how to treat timber against moisture intrusion, fungal decay common in humid environments. This report highlights that successful projects depend heavily on the carpenter's ability to select appropriate treated pine or durable hardwoods that withstand the coastal elements typical of areas like Devonport or Takapuna.</w:t>
      </w:r>
    </w:p>
    <w:bookmarkEnd w:id="21"/>
    <w:bookmarkStart w:id="24" w:name="regulatory-framework-and-compliance"/>
    <w:p>
      <w:pPr>
        <w:pStyle w:val="Heading2"/>
      </w:pPr>
      <w:r>
        <w:t xml:space="preserve">3. Regulatory Framework and Compliance</w:t>
      </w:r>
    </w:p>
    <w:p>
      <w:pPr>
        <w:pStyle w:val="FirstParagraph"/>
      </w:pPr>
      <w:r>
        <w:t xml:space="preserve">To operate legally and safely in</w:t>
      </w:r>
      <w:r>
        <w:t xml:space="preserve"> </w:t>
      </w:r>
      <w:r>
        <w:rPr>
          <w:bCs/>
          <w:b/>
        </w:rPr>
        <w:t xml:space="preserve">New Zealand Auckland</w:t>
      </w:r>
      <w:r>
        <w:t xml:space="preserve">, every project involving a licensed</w:t>
      </w:r>
      <w:r>
        <w:t xml:space="preserve"> </w:t>
      </w:r>
      <w:r>
        <w:rPr>
          <w:bCs/>
          <w:b/>
        </w:rPr>
        <w:t xml:space="preserve">Carpenter</w:t>
      </w:r>
    </w:p>
    <w:bookmarkStart w:id="22" w:name="resource-consents"/>
    <w:p>
      <w:pPr>
        <w:pStyle w:val="Heading3"/>
      </w:pPr>
      <w:r>
        <w:t xml:space="preserve">3.1 Resource Consents</w:t>
      </w:r>
    </w:p>
    <w:p>
      <w:pPr>
        <w:pStyle w:val="FirstParagraph"/>
      </w:pPr>
      <w:r>
        <w:t xml:space="preserve">The Auckland Council enforces rigorous resource consent processes. Before a carpenter begins framing, they must verify that all necessary consents are in place. This includes checking heritage overlays, which protect historic homes particularly prevalent in areas like Ponsonby or Parnell. Failure to comply can result in significant fines and project halts.</w:t>
      </w:r>
    </w:p>
    <w:bookmarkEnd w:id="22"/>
    <w:bookmarkStart w:id="23" w:name="building-consent-process"/>
    <w:p>
      <w:pPr>
        <w:pStyle w:val="Heading3"/>
      </w:pPr>
      <w:r>
        <w:t xml:space="preserve">3.2 Building Consent Process</w:t>
      </w:r>
    </w:p>
    <w:p>
      <w:pPr>
        <w:pStyle w:val="FirstParagraph"/>
      </w:pPr>
      <w:r>
        <w:t xml:space="preserve">A key aspect of this report is detailing the building consent process for a typical residential renovation in</w:t>
      </w:r>
    </w:p>
    <w:p>
      <w:pPr>
        <w:pStyle w:val="BodyText"/>
      </w:pPr>
      <w:r>
        <w:t xml:space="preserve">New Zealand Auckland. The carpenter acts as a liaison between the client and council inspectors. Ensuring that framing aligns with approved plans prevents costly rework later.</w:t>
      </w:r>
    </w:p>
    <w:bookmarkEnd w:id="23"/>
    <w:bookmarkEnd w:id="24"/>
    <w:bookmarkStart w:id="25" w:name="X9ebc0a630103a1fd2a777067de60a03c3606757"/>
    <w:p>
      <w:pPr>
        <w:pStyle w:val="Heading2"/>
      </w:pPr>
      <w:r>
        <w:t xml:space="preserve">4. Technical Specifications and Material Selection</w:t>
      </w:r>
    </w:p>
    <w:p>
      <w:pPr>
        <w:pStyle w:val="FirstParagraph"/>
      </w:pPr>
      <w:r>
        <w:t xml:space="preserve">The choice of materials significantly impacts the longevity of construction projects in</w:t>
      </w:r>
    </w:p>
    <w:p>
      <w:pPr>
        <w:pStyle w:val="BodyText"/>
      </w:pPr>
      <w:r>
        <w:t xml:space="preserve">New Zealand Auckland. The following table outlines recommended material standards for residential carpentry:</w:t>
      </w:r>
    </w:p>
    <w:p>
      <w:pPr>
        <w:pStyle w:val="BodyText"/>
      </w:pPr>
      <w:r>
        <w:rPr>
          <w:bCs/>
          <w:b/>
        </w:rPr>
        <w:t xml:space="preserve">Carpenter</w:t>
      </w:r>
    </w:p>
    <w:bookmarkEnd w:id="25"/>
    <w:bookmarkEnd w:id="26"/>
    <w:p>
      <w:pPr>
        <w:pStyle w:val="BodyText"/>
      </w:pPr>
      <w:r>
        <w:t xml:space="preserve">Material Type</w:t>
      </w:r>
      <w:r>
        <w:br/>
      </w:r>
      <w:r>
        <w:t xml:space="preserve">Usage Area</w:t>
      </w:r>
      <w:r>
        <w:br/>
      </w:r>
      <w:r>
        <w:t xml:space="preserve">Standard Requirement</w:t>
      </w:r>
    </w:p>
    <w:p>
      <w:pPr>
        <w:pStyle w:val="BodyText"/>
      </w:pPr>
      <w:r>
        <w:t xml:space="preserve">Treated Pine (H3.2)</w:t>
      </w:r>
      <w:r>
        <w:br/>
      </w:r>
      <w:r>
        <w:t xml:space="preserve">External Framing, Decking</w:t>
      </w:r>
      <w:r>
        <w:br/>
      </w:r>
      <w:r>
        <w:t xml:space="preserve">ASTM D245 / NZS 3604 Compliance</w:t>
      </w:r>
    </w:p>
    <w:p>
      <w:pPr>
        <w:pStyle w:val="BodyText"/>
      </w:pPr>
      <w:r>
        <w:t xml:space="preserve">Karaka or Rimu</w:t>
      </w:r>
      <w:r>
        <w:br/>
      </w:r>
      <w:r>
        <w:t xml:space="preserve">Internal Joinery, Feature Walls</w:t>
      </w:r>
      <w:r>
        <w:br/>
      </w:r>
      <w:r>
        <w:t xml:space="preserve">FSC Certified Sustainable Sources</w:t>
      </w:r>
    </w:p>
    <w:p>
      <w:pPr>
        <w:pStyle w:val="BodyText"/>
      </w:pPr>
      <w:r>
        <w:t xml:space="preserve">Marine Grade Plywood</w:t>
      </w:r>
      <w:r>
        <w:br/>
      </w:r>
      <w:r>
        <w:br/>
      </w:r>
    </w:p>
    <w:p>
      <w:pPr>
        <w:pStyle w:val="BodyText"/>
      </w:pPr>
      <w:r>
        <w:rPr>
          <w:iCs/>
          <w:i/>
        </w:rPr>
        <w:t xml:space="preserve">Note: All timber used in</w:t>
      </w:r>
      <w:r>
        <w:rPr>
          <w:iCs/>
          <w:i/>
        </w:rPr>
        <w:t xml:space="preserve"> </w:t>
      </w:r>
      <w:r>
        <w:rPr>
          <w:bCs/>
          <w:b/>
          <w:iCs/>
          <w:i/>
        </w:rPr>
        <w:t xml:space="preserve">New Zealand Auckland</w:t>
      </w:r>
      <w:r>
        <w:rPr>
          <w:iCs/>
          <w:i/>
        </w:rPr>
        <w:t xml:space="preserve"> </w:t>
      </w:r>
      <w:r>
        <w:rPr>
          <w:iCs/>
          <w:i/>
        </w:rPr>
        <w:t xml:space="preserve">projects must be sourced from sustainable forests to meet environmental guidelines enforced by local authorities.</w:t>
      </w:r>
    </w:p>
    <w:bookmarkStart w:id="27" w:name="section"/>
    <w:p>
      <w:pPr>
        <w:pStyle w:val="Heading2"/>
      </w:pPr>
    </w:p>
    <w:bookmarkEnd w:id="27"/>
    <w:bookmarkStart w:id="28" w:name="section-1"/>
    <w:p>
      <w:pPr>
        <w:pStyle w:val="Heading2"/>
      </w:pPr>
    </w:p>
    <w:bookmarkEnd w:id="28"/>
    <w:bookmarkStart w:id="30" w:name="section-2"/>
    <w:p>
      <w:pPr>
        <w:pStyle w:val="Heading2"/>
      </w:pPr>
    </w:p>
    <w:p>
      <w:pPr>
        <w:pStyle w:val="FirstParagraph"/>
      </w:pPr>
      <w:r>
        <w:t xml:space="preserve">Metal or Composite</w:t>
      </w:r>
      <w:r>
        <w:br/>
      </w:r>
      <w:r>
        <w:t xml:space="preserve">Roofing, Cladding Supports</w:t>
      </w:r>
      <w:r>
        <w:br/>
      </w:r>
      <w:r>
        <w:t xml:space="preserve">Corrosion Resistant Coatings</w:t>
      </w:r>
    </w:p>
    <w:bookmarkStart w:id="29" w:name="structural-integrity"/>
    <w:p>
      <w:pPr>
        <w:pStyle w:val="Heading3"/>
      </w:pPr>
      <w:r>
        <w:t xml:space="preserve">4.1 Structural Integrity</w:t>
      </w:r>
    </w:p>
    <w:p>
      <w:pPr>
        <w:pStyle w:val="FirstParagraph"/>
      </w:pPr>
      <w:r>
        <w:t xml:space="preserve">In earthquake-prone regions like parts of</w:t>
      </w:r>
      <w:r>
        <w:t xml:space="preserve"> </w:t>
      </w:r>
      <w:r>
        <w:rPr>
          <w:bCs/>
          <w:b/>
        </w:rPr>
        <w:t xml:space="preserve">New Zealand Auckland</w:t>
      </w:r>
      <w:r>
        <w:t xml:space="preserve">, the carpenter must ensure that connections meet seismic bracing requirements. This involves precise installation of hold-downs, straps, and shear walls to ensure the building can withstand potential seismic events.</w:t>
      </w:r>
    </w:p>
    <w:bookmarkEnd w:id="29"/>
    <w:bookmarkEnd w:id="30"/>
    <w:bookmarkStart w:id="31" w:name="health-and-safety-protocols"/>
    <w:p>
      <w:pPr>
        <w:pStyle w:val="Heading2"/>
      </w:pPr>
      <w:r>
        <w:t xml:space="preserve">5. Health and Safety Protocols</w:t>
      </w:r>
    </w:p>
    <w:p>
      <w:pPr>
        <w:pStyle w:val="FirstParagraph"/>
      </w:pPr>
      <w:r>
        <w:t xml:space="preserve">The safety of every individual involved in a construction project is paramount. Under New Zealand law, the</w:t>
      </w:r>
      <w:r>
        <w:t xml:space="preserve"> </w:t>
      </w:r>
      <w:r>
        <w:rPr>
          <w:bCs/>
          <w:b/>
        </w:rPr>
        <w:t xml:space="preserve">Carpenter</w:t>
      </w:r>
    </w:p>
    <w:p>
      <w:pPr>
        <w:numPr>
          <w:ilvl w:val="0"/>
          <w:numId w:val="1001"/>
        </w:numPr>
        <w:pStyle w:val="Compact"/>
      </w:pPr>
      <w:r>
        <w:t xml:space="preserve">Mandatory use of Personal Protective Equipment (PPE) including hard hats, steel-capped boots.</w:t>
      </w:r>
    </w:p>
    <w:p>
      <w:pPr>
        <w:numPr>
          <w:ilvl w:val="0"/>
          <w:numId w:val="1001"/>
        </w:numPr>
        <w:pStyle w:val="Compact"/>
      </w:pPr>
      <w:r>
        <w:t xml:space="preserve">Rigorous site inspections conducted weekly by a qualified health and safety officer.</w:t>
      </w:r>
    </w:p>
    <w:p>
      <w:pPr>
        <w:numPr>
          <w:ilvl w:val="0"/>
          <w:numId w:val="1001"/>
        </w:numPr>
        <w:pStyle w:val="Compact"/>
      </w:pPr>
      <w:r>
        <w:t xml:space="preserve">Training on manual handling techniques to prevent musculoskeletal injuries, which are common in carpentry.</w:t>
      </w:r>
    </w:p>
    <w:bookmarkEnd w:id="31"/>
    <w:bookmarkStart w:id="32" w:name="project-timeline-and-phases"/>
    <w:p>
      <w:pPr>
        <w:pStyle w:val="Heading2"/>
      </w:pPr>
      <w:r>
        <w:t xml:space="preserve">6. Project Timeline and Phases</w:t>
      </w:r>
    </w:p>
    <w:p>
      <w:pPr>
        <w:pStyle w:val="FirstParagraph"/>
      </w:pPr>
      <w:r>
        <w:t xml:space="preserve">A typical carpentry project in</w:t>
      </w:r>
    </w:p>
    <w:p>
      <w:pPr>
        <w:pStyle w:val="BodyText"/>
      </w:pPr>
      <w:r>
        <w:t xml:space="preserve">New Zealand Auckland follows these phases:</w:t>
      </w:r>
    </w:p>
    <w:p>
      <w:pPr>
        <w:pStyle w:val="BodyText"/>
      </w:pPr>
      <w:r>
        <w:br/>
      </w:r>
      <w:r>
        <w:t xml:space="preserve">Sites Survey: 1 Week</w:t>
      </w:r>
      <w:r>
        <w:br/>
      </w:r>
      <w:r>
        <w:br/>
      </w:r>
    </w:p>
    <w:bookmarkEnd w:id="32"/>
    <w:bookmarkStart w:id="33" w:name="Xe0de7df39828e1ec0cae4e8d7dd623c5fe1b00f"/>
    <w:p>
      <w:pPr>
        <w:pStyle w:val="Heading2"/>
      </w:pPr>
      <w:r>
        <w:t xml:space="preserve">7. Budget Considerations and Cost Management</w:t>
      </w:r>
    </w:p>
    <w:p>
      <w:pPr>
        <w:pStyle w:val="FirstParagraph"/>
      </w:pPr>
      <w:r>
        <w:t xml:space="preserve">Carpentry costs in</w:t>
      </w:r>
      <w:r>
        <w:t xml:space="preserve"> </w:t>
      </w:r>
      <w:r>
        <w:rPr>
          <w:bCs/>
          <w:b/>
        </w:rPr>
        <w:t xml:space="preserve">New Zealand Auckland</w:t>
      </w:r>
      <w:r>
        <w:t xml:space="preserve"> </w:t>
      </w:r>
      <w:r>
        <w:t xml:space="preserve">fluctuate based on material availability, labor rates, and regulatory changes. This report advises clients to budget for contingencies ranging from 10% to 15%. The cost of skilled labor remains high due to the scarcity of experienced tradespeople in the region.</w:t>
      </w:r>
    </w:p>
    <w:bookmarkEnd w:id="33"/>
    <w:bookmarkStart w:id="34" w:name="conclusion"/>
    <w:p>
      <w:pPr>
        <w:pStyle w:val="Heading2"/>
      </w:pPr>
      <w:r>
        <w:t xml:space="preserve">8. Conclusion</w:t>
      </w:r>
    </w:p>
    <w:p>
      <w:pPr>
        <w:pStyle w:val="FirstParagraph"/>
      </w:pPr>
      <w:r>
        <w:t xml:space="preserve">In conclusion, this project report underscores the critical importance of adhering to best practices when engaging a</w:t>
      </w:r>
      <w:r>
        <w:t xml:space="preserve"> </w:t>
      </w:r>
      <w:r>
        <w:rPr>
          <w:bCs/>
          <w:b/>
        </w:rPr>
        <w:t xml:space="preserve">CarpenterNew Zealand Auckland</w:t>
      </w:r>
      <w:r>
        <w:t xml:space="preserve">. By prioritizing compliance, quality materials, and safety standards, stakeholders can ensure successful outcomes that enhance both property value and community well-being. Future iterations of this report will include case studies from specific neighborhoods within</w:t>
      </w:r>
    </w:p>
    <w:p>
      <w:pPr>
        <w:pStyle w:val="BodyText"/>
      </w:pPr>
      <w:r>
        <w:t xml:space="preserve">New Zealand Auckland to provide more localized insights.</w:t>
      </w:r>
    </w:p>
    <w:p>
      <w:pPr>
        <w:pStyle w:val="BodyText"/>
      </w:pPr>
      <w:r>
        <w:rPr>
          <w:bCs/>
          <w:b/>
        </w:rPr>
        <w:t xml:space="preserve">Final Note:</w:t>
      </w:r>
      <w:r>
        <w:t xml:space="preserve"> </w:t>
      </w:r>
      <w:r>
        <w:t xml:space="preserve">This document serves as a foundational guide for all parties involved in carpentry projects. It is recommended that all stakeholders review this report thoroughly before proceeding with any construction activities in the region.</w:t>
      </w:r>
    </w:p>
    <w:p>
      <w:pPr>
        <w:pStyle w:val="BodyText"/>
      </w:pPr>
      <w:r>
        <w:br/>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Services Project Report: New Zealand Auckland</dc:title>
  <dc:creator/>
  <dc:language>en</dc:language>
  <cp:keywords/>
  <dcterms:created xsi:type="dcterms:W3CDTF">2026-07-29T21:11:01Z</dcterms:created>
  <dcterms:modified xsi:type="dcterms:W3CDTF">2026-07-29T21:11:01Z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