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20" w:name="Xe4b1cf988efd1b4112c2748b5f5c8b946b32446"/>
    <w:p>
      <w:pPr>
        <w:pStyle w:val="Heading1"/>
      </w:pPr>
      <w:r>
        <w:t xml:space="preserve">Strategic Project Report: Advancing Industrial Capabilities through Chemical Engineering in Colombia Bogotá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Mines and Energy, Colombian Government; Key Industry Stakeholders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Department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Chemical Engineering Integration in Colombia Bogotá</dc:title>
  <dc:creator/>
  <dc:language>en</dc:language>
  <cp:keywords/>
  <dcterms:created xsi:type="dcterms:W3CDTF">2026-07-29T20:11:35Z</dcterms:created>
  <dcterms:modified xsi:type="dcterms:W3CDTF">2026-07-29T20:11:35Z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