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Chemist</w:t>
      </w:r>
      <w:r>
        <w:t xml:space="preserve"> </w:t>
      </w:r>
      <w:r>
        <w:t xml:space="preserve">Operations</w:t>
      </w:r>
      <w:r>
        <w:t xml:space="preserve"> </w:t>
      </w:r>
      <w:r>
        <w:t xml:space="preserve">in</w:t>
      </w:r>
      <w:r>
        <w:t xml:space="preserve"> </w:t>
      </w:r>
      <w:r>
        <w:t xml:space="preserve">Australia</w:t>
      </w:r>
      <w:r>
        <w:t xml:space="preserve"> </w:t>
      </w:r>
      <w:r>
        <w:t xml:space="preserve">Sydney</w:t>
      </w:r>
    </w:p>
    <w:p>
      <w:pPr>
        <w:pStyle w:val="FirstParagraph"/>
      </w:pPr>
      <w:r>
        <w:t xml:space="preserve">```html</w:t>
      </w:r>
    </w:p>
    <w:bookmarkStart w:id="35" w:name="Xc49ec77022bb497f3f562588e29b879a533962e"/>
    <w:p>
      <w:pPr>
        <w:pStyle w:val="Heading1"/>
      </w:pPr>
      <w:r>
        <w:t xml:space="preserve">Strategic Project Report: Establishment and Optimization of Chemist Services in Australia Sydney</w:t>
      </w:r>
    </w:p>
    <w:bookmarkStart w:id="20" w:name="executive-summary"/>
    <w:p>
      <w:pPr>
        <w:pStyle w:val="Heading2"/>
      </w:pPr>
      <w:r>
        <w:t xml:space="preserve">1. Executive Summary</w:t>
      </w:r>
    </w:p>
    <w:p>
      <w:pPr>
        <w:pStyle w:val="FirstParagraph"/>
      </w:pPr>
      <w:r>
        <w:t xml:space="preserve">This report outlines the strategic framework for establishing a robust Chemist operation within the dynamic urban landscape of Australia, specifically focusing on the metropolitan hub of Sydney. As one of Australia's most populous and diverse cities, Sydney presents unique logistical, regulatory, and competitive challenges that must be navigated to ensure profitability and community service excellence. This document analyzes current market trends in Australian pharmacy retailing and details a comprehensive operational plan tailored for the specific demographics of Greater Sydney.</w:t>
      </w:r>
    </w:p>
    <w:bookmarkEnd w:id="20"/>
    <w:bookmarkStart w:id="21" w:name="introduction"/>
    <w:p>
      <w:pPr>
        <w:pStyle w:val="Heading2"/>
      </w:pPr>
      <w:r>
        <w:t xml:space="preserve">2. Introduction</w:t>
      </w:r>
    </w:p>
    <w:p>
      <w:pPr>
        <w:pStyle w:val="FirstParagraph"/>
      </w:pPr>
      <w:r>
        <w:t xml:space="preserve">The term "Chemist" is widely used in Australia to refer to a pharmacy, a sector that serves as the first point of contact for many healthcare needs. In Australia Sydney, the demand for pharmaceutical services is high due to the city's dense population and aging demographic. The objective of this project is not merely to open a retail outlet but to integrate advanced clinical services with traditional dispensing duties while adhering strictly to local regulations in New South Wales (NSW). This report serves as a roadmap for stakeholders, investors, and operational managers involved in this initiative.</w:t>
      </w:r>
    </w:p>
    <w:bookmarkEnd w:id="21"/>
    <w:bookmarkStart w:id="24" w:name="market-analysis-of-australia-sydney"/>
    <w:p>
      <w:pPr>
        <w:pStyle w:val="Heading2"/>
      </w:pPr>
      <w:r>
        <w:t xml:space="preserve">3. Market Analysis of Australia Sydney</w:t>
      </w:r>
    </w:p>
    <w:p>
      <w:pPr>
        <w:pStyle w:val="FirstParagraph"/>
      </w:pPr>
      <w:r>
        <w:t xml:space="preserve">Sydney is characterized by a diverse demographic mix ranging from young professionals in the Central Business District (CBD) to established families in the suburbs such as Parramatta, Bondi, and Chatswood. Understanding these micro-markets is crucial for Chemist placement and inventory management.</w:t>
      </w:r>
    </w:p>
    <w:bookmarkStart w:id="22" w:name="competitive-landscape"/>
    <w:p>
      <w:pPr>
        <w:pStyle w:val="Heading3"/>
      </w:pPr>
      <w:r>
        <w:t xml:space="preserve">3.1 Competitive Landscape</w:t>
      </w:r>
    </w:p>
    <w:p>
      <w:pPr>
        <w:pStyle w:val="FirstParagraph"/>
      </w:pPr>
      <w:r>
        <w:t xml:space="preserve">The Australian pharmacy market is dominated by major chains such as TerryWhite Chemmart, Collett’s Pharmacy, and large supermarkets with prescription counters. However, independent or boutique Chemist brands are gaining traction by offering personalized care plans and extended opening hours. In Australia Sydney specifically, competition is fierce in the CBD but less saturated in outer western suburbs like Penrith or Blacktown.</w:t>
      </w:r>
    </w:p>
    <w:bookmarkEnd w:id="22"/>
    <w:bookmarkStart w:id="23" w:name="regulatory-environment"/>
    <w:p>
      <w:pPr>
        <w:pStyle w:val="Heading3"/>
      </w:pPr>
      <w:r>
        <w:t xml:space="preserve">3.2 Regulatory Environment</w:t>
      </w:r>
    </w:p>
    <w:p>
      <w:pPr>
        <w:pStyle w:val="FirstParagraph"/>
      </w:pPr>
      <w:r>
        <w:t xml:space="preserve">All operations must comply with the Standards for Pharmacy Practice set by the Pharmaceutical Society of Australia (PSA) and regulations enforced by Health Care Commission NSW. This includes strict adherence to Controlled Drugs legislation, patient privacy laws (HIPAA equivalents in Australia), and the Pharmaceutical Benefits Scheme (PBS) guidelines.</w:t>
      </w:r>
    </w:p>
    <w:bookmarkEnd w:id="23"/>
    <w:bookmarkEnd w:id="24"/>
    <w:bookmarkStart w:id="27" w:name="operational-strategy"/>
    <w:p>
      <w:pPr>
        <w:pStyle w:val="Heading2"/>
      </w:pPr>
      <w:r>
        <w:t xml:space="preserve">4. Operational Strategy</w:t>
      </w:r>
    </w:p>
    <w:bookmarkStart w:id="25" w:name="site-selection-and-infrastructure"/>
    <w:p>
      <w:pPr>
        <w:pStyle w:val="Heading3"/>
      </w:pPr>
      <w:r>
        <w:t xml:space="preserve">4.1 Site Selection and Infrastructure</w:t>
      </w:r>
    </w:p>
    <w:p>
      <w:pPr>
        <w:pStyle w:val="FirstParagraph"/>
      </w:pPr>
      <w:r>
        <w:t xml:space="preserve">The proposed Chemist will initially launch in a high-traffic suburban node within Greater Sydney, balancing rental costs with foot traffic. The store layout must adhere to the "Pharmacy Premises Guidelines" which require specific segregation areas for dispensing confidential prescriptions from customer consultation zones.</w:t>
      </w:r>
    </w:p>
    <w:bookmarkEnd w:id="25"/>
    <w:bookmarkStart w:id="26" w:name="supply-chain-management"/>
    <w:p>
      <w:pPr>
        <w:pStyle w:val="Heading3"/>
      </w:pPr>
      <w:r>
        <w:t xml:space="preserve">4.2 Supply Chain Management</w:t>
      </w:r>
    </w:p>
    <w:p>
      <w:pPr>
        <w:pStyle w:val="FirstParagraph"/>
      </w:pPr>
      <w:r>
        <w:t xml:space="preserve">A reliable supply chain is critical in Australia Sydney, where logistical delays can occur during extreme weather events. The project will establish partnerships with major pharmaceutical wholesalers operating in NSW. Inventory management systems will be integrated with real-time tracking to minimize waste of temperature-sensitive biologics and ensure stock availability of essential medications.</w:t>
      </w:r>
    </w:p>
    <w:bookmarkEnd w:id="26"/>
    <w:bookmarkEnd w:id="27"/>
    <w:bookmarkStart w:id="29" w:name="technology-and-digital-integration"/>
    <w:p>
      <w:pPr>
        <w:pStyle w:val="Heading2"/>
      </w:pPr>
      <w:r>
        <w:t xml:space="preserve">5. Technology and Digital Integration</w:t>
      </w:r>
    </w:p>
    <w:p>
      <w:pPr>
        <w:pStyle w:val="FirstParagraph"/>
      </w:pPr>
      <w:r>
        <w:t xml:space="preserve">To remain competitive in the modern Australian market, the Chemist will deploy an advanced Electronic Medical Record (EMR) system compatible with MyHealthRecord. This allows pharmacists to access a patient’s medication history safely, reducing drug interaction risks. Additionally, a mobile application will be developed for customers in Australia Sydney to manage prescriptions, order over-the-counter items for home delivery across the metropolitan area, and book consultation appointments.</w:t>
      </w:r>
    </w:p>
    <w:bookmarkStart w:id="28" w:name="telehealth-integration"/>
    <w:p>
      <w:pPr>
        <w:pStyle w:val="Heading3"/>
      </w:pPr>
      <w:r>
        <w:t xml:space="preserve">5.1 Telehealth Integration</w:t>
      </w:r>
    </w:p>
    <w:p>
      <w:pPr>
        <w:pStyle w:val="FirstParagraph"/>
      </w:pPr>
      <w:r>
        <w:t xml:space="preserve">Incorporating telehealth services is essential post-pandemic. The Chemist will provide private consultation rooms equipped for video calls with doctors and specialists, offering a comprehensive healthcare hub experience tailored to the busy lifestyle of Sydney residents.</w:t>
      </w:r>
    </w:p>
    <w:bookmarkEnd w:id="28"/>
    <w:bookmarkEnd w:id="29"/>
    <w:bookmarkStart w:id="30" w:name="clinical-services-expansion"/>
    <w:p>
      <w:pPr>
        <w:pStyle w:val="Heading2"/>
      </w:pPr>
      <w:r>
        <w:t xml:space="preserve">6. Clinical Services Expansion</w:t>
      </w:r>
    </w:p>
    <w:p>
      <w:pPr>
        <w:pStyle w:val="FirstParagraph"/>
      </w:pPr>
      <w:r>
        <w:t xml:space="preserve">Moving beyond traditional dispensing, the Chemist in Australia will act as an extension of the primary healthcare system. Key services include:</w:t>
      </w:r>
    </w:p>
    <w:p>
      <w:pPr>
        <w:numPr>
          <w:ilvl w:val="0"/>
          <w:numId w:val="1001"/>
        </w:numPr>
        <w:pStyle w:val="Compact"/>
      </w:pPr>
      <w:r>
        <w:rPr>
          <w:bCs/>
          <w:b/>
        </w:rPr>
        <w:t xml:space="preserve">PBS Authority to Supply (ATS):</w:t>
      </w:r>
      <w:r>
        <w:t xml:space="preserve"> </w:t>
      </w:r>
      <w:r>
        <w:t xml:space="preserve">Managing authority scripts for chronic disease management.</w:t>
      </w:r>
    </w:p>
    <w:p>
      <w:pPr>
        <w:numPr>
          <w:ilvl w:val="0"/>
          <w:numId w:val="1001"/>
        </w:numPr>
        <w:pStyle w:val="Compact"/>
      </w:pPr>
      <w:r>
        <w:rPr>
          <w:bCs/>
          <w:b/>
        </w:rPr>
        <w:t xml:space="preserve">Vaccination Clinics:</w:t>
      </w:r>
      <w:r>
        <w:t xml:space="preserve"> </w:t>
      </w:r>
      <w:r>
        <w:t xml:space="preserve">Offering influenza, shingles, and travel vaccinations common among Sydney travelers.</w:t>
      </w:r>
    </w:p>
    <w:p>
      <w:pPr>
        <w:numPr>
          <w:ilvl w:val="0"/>
          <w:numId w:val="1001"/>
        </w:numPr>
        <w:pStyle w:val="Compact"/>
      </w:pPr>
      <w:r>
        <w:rPr>
          <w:bCs/>
          <w:b/>
        </w:rPr>
        <w:t xml:space="preserve">HRT and Weight Management:</w:t>
      </w:r>
      <w:r>
        <w:t xml:space="preserve"> </w:t>
      </w:r>
      <w:r>
        <w:t xml:space="preserve">Providing specialized consultations for hormonal health and weight loss programs in partnership with local GPs.</w:t>
      </w:r>
    </w:p>
    <w:bookmarkEnd w:id="30"/>
    <w:bookmarkStart w:id="31" w:name="human-resources-and-training"/>
    <w:p>
      <w:pPr>
        <w:pStyle w:val="Heading2"/>
      </w:pPr>
      <w:r>
        <w:t xml:space="preserve">7. Human Resources and Training</w:t>
      </w:r>
    </w:p>
    <w:p>
      <w:pPr>
        <w:pStyle w:val="FirstParagraph"/>
      </w:pPr>
      <w:r>
        <w:t xml:space="preserve">The success of the Chemist depends on qualified personnel. All pharmacists must be registered with the Pharmacy Board of Australia (AHPRA). The project plan includes a recruitment drive targeting graduates from local universities such as the University of Sydney’s School of Pharmacy. Furthermore, support staff will undergo rigorous training in customer service and data entry accuracy.</w:t>
      </w:r>
    </w:p>
    <w:p>
      <w:pPr>
        <w:pStyle w:val="BodyText"/>
      </w:pPr>
      <w:r>
        <w:t xml:space="preserve">Ongoing professional development is mandatory in Australia. Staff will receive continuous education regarding new PBS changes, clinical updates on emerging health trends affecting the population of Australia Sydney, and cultural competency training to serve the city’s multicultural communities effectively.</w:t>
      </w:r>
    </w:p>
    <w:bookmarkEnd w:id="31"/>
    <w:bookmarkStart w:id="32" w:name="financial-projections"/>
    <w:p>
      <w:pPr>
        <w:pStyle w:val="Heading2"/>
      </w:pPr>
      <w:r>
        <w:t xml:space="preserve">8. Financial Projections</w:t>
      </w:r>
    </w:p>
    <w:p>
      <w:pPr>
        <w:pStyle w:val="FirstParagraph"/>
      </w:pPr>
      <w:r>
        <w:t xml:space="preserve">The financial model for this Chemist project assumes a break-even point within 18 months. Revenue streams will be diversified across three pillars:</w:t>
      </w:r>
    </w:p>
    <w:p>
      <w:pPr>
        <w:numPr>
          <w:ilvl w:val="0"/>
          <w:numId w:val="1002"/>
        </w:numPr>
        <w:pStyle w:val="Compact"/>
      </w:pPr>
      <w:r>
        <w:rPr>
          <w:bCs/>
          <w:b/>
        </w:rPr>
        <w:t xml:space="preserve">PBS Dispensing Fees:</w:t>
      </w:r>
      <w:r>
        <w:t xml:space="preserve"> </w:t>
      </w:r>
      <w:r>
        <w:t xml:space="preserve">Government subsidies providing stable baseline revenue.</w:t>
      </w:r>
    </w:p>
    <w:p>
      <w:pPr>
        <w:numPr>
          <w:ilvl w:val="0"/>
          <w:numId w:val="1002"/>
        </w:numPr>
        <w:pStyle w:val="Compact"/>
      </w:pPr>
      <w:r>
        <w:rPr>
          <w:bCs/>
          <w:b/>
        </w:rPr>
        <w:t xml:space="preserve">Omnichannel Sales:</w:t>
      </w:r>
      <w:r>
        <w:t xml:space="preserve"> </w:t>
      </w:r>
      <w:r>
        <w:t xml:space="preserve">Growth in over-the-counter (OTC) products via online platforms targeting the tech-savvy Sydney demographic.</w:t>
      </w:r>
    </w:p>
    <w:p>
      <w:pPr>
        <w:numPr>
          <w:ilvl w:val="0"/>
          <w:numId w:val="1002"/>
        </w:numPr>
        <w:pStyle w:val="Compact"/>
      </w:pPr>
      <w:r>
        <w:rPr>
          <w:bCs/>
          <w:b/>
        </w:rPr>
        <w:t xml:space="preserve">Clinical Services Fee-for-Service:</w:t>
      </w:r>
      <w:r>
        <w:t xml:space="preserve"> </w:t>
      </w:r>
      <w:r>
        <w:t xml:space="preserve">Income derived from private consultations, vaccinations, and pathology collections.</w:t>
      </w:r>
    </w:p>
    <w:p>
      <w:pPr>
        <w:pStyle w:val="FirstParagraph"/>
      </w:pPr>
      <w:r>
        <w:t xml:space="preserve">Budgetary considerations include initial fit-out costs compliant with NSW health standards, licensing fees, and a marketing budget focused on local SEO to capture "chemist near me" searches within specific Sydney suburbs.</w:t>
      </w:r>
    </w:p>
    <w:bookmarkEnd w:id="32"/>
    <w:bookmarkStart w:id="33" w:name="community-engagement-and-csr"/>
    <w:p>
      <w:pPr>
        <w:pStyle w:val="Heading2"/>
      </w:pPr>
      <w:r>
        <w:t xml:space="preserve">9. Community Engagement and CSR</w:t>
      </w:r>
    </w:p>
    <w:p>
      <w:pPr>
        <w:pStyle w:val="FirstParagraph"/>
      </w:pPr>
      <w:r>
        <w:t xml:space="preserve">Social Responsibility is a core pillar for the Chemist brand in Australia. The project will establish partnerships with local community centers in disadvantaged areas of Sydney to provide free health checks and medication reviews for the elderly. Additionally, sustainability initiatives, such as reducing plastic waste through refillable containers for bulk products and recycling pharmaceutical packaging programs, align with the environmental values prevalent among Australian consumers.</w:t>
      </w:r>
    </w:p>
    <w:bookmarkEnd w:id="33"/>
    <w:bookmarkStart w:id="34" w:name="conclusion"/>
    <w:p>
      <w:pPr>
        <w:pStyle w:val="Heading2"/>
      </w:pPr>
      <w:r>
        <w:t xml:space="preserve">10. Conclusion</w:t>
      </w:r>
    </w:p>
    <w:p>
      <w:pPr>
        <w:pStyle w:val="FirstParagraph"/>
      </w:pPr>
      <w:r>
        <w:t xml:space="preserve">The establishment of this Chemist project in Australia Sydney represents a strategic investment in the future of community healthcare. By combining rigorous adherence to Australian regulatory frameworks with innovative digital solutions and clinically focused services, the venture is well-positioned to capture market share and deliver tangible health outcomes for residents. The comprehensive approach outlined in this report mitigates operational risks while maximizing growth potential, ensuring that the Chemist becomes a trusted pillar of healthcare infrastructure across Australia Sydney.</w:t>
      </w:r>
    </w:p>
    <w:bookmarkEnd w:id="34"/>
    <w:p>
      <w:pPr>
        <w:pStyle w:val="BodyText"/>
      </w:pPr>
      <w:r>
        <w:rPr>
          <w:bCs/>
          <w:b/>
        </w:rPr>
        <w:t xml:space="preserve">Note:</w:t>
      </w:r>
      <w:r>
        <w:t xml:space="preserve"> </w:t>
      </w:r>
      <w:r>
        <w:t xml:space="preserve">This report serves as an initial planning document for stakeholders. Specific financial figures and lease agreements should be finalized upon due diligence completion. All references to laws and schemes are current as of the writing date.</w:t>
      </w:r>
    </w:p>
    <w:p>
      <w:pPr>
        <w:pStyle w:val="BodyText"/>
      </w:pPr>
      <w:r>
        <w:t xml:space="preserve">```</w:t>
      </w:r>
    </w:p>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Chemist Operations in Australia Sydney</dc:title>
  <dc:creator/>
  <dc:language>en</dc:language>
  <cp:keywords/>
  <dcterms:created xsi:type="dcterms:W3CDTF">2026-07-29T03:47:08Z</dcterms:created>
  <dcterms:modified xsi:type="dcterms:W3CDTF">2026-07-29T03:47:08Z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