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8" w:name="X2227209e740edb063c17dc9416daf43d116e72e"/>
    <w:p>
      <w:pPr>
        <w:pStyle w:val="Heading1"/>
      </w:pPr>
      <w:r>
        <w:t xml:space="preserve">Comprehensive Project Report: Implementation of Specialized Chemist Services in Canada, Toronto</w:t>
      </w:r>
    </w:p>
    <w:bookmarkStart w:id="20" w:name="date"/>
    <w:p>
      <w:pPr>
        <w:pStyle w:val="Heading3"/>
      </w:pPr>
      <w:r>
        <w:t xml:space="preserve">Date:</w:t>
      </w:r>
    </w:p>
    <w:p>
      <w:pPr>
        <w:pStyle w:val="FirstParagraph"/>
      </w:pPr>
      <w:r>
        <w:rPr>
          <w:bCs/>
          <w:b/>
        </w:rPr>
        <w:t xml:space="preserve">October 24, 2023</w:t>
      </w:r>
    </w:p>
    <w:p>
      <w:pPr>
        <w:pStyle w:val="BodyText"/>
      </w:pPr>
      <w:r>
        <w:t xml:space="preserve">To:</w:t>
      </w:r>
    </w:p>
    <w:p>
      <w:pPr>
        <w:pStyle w:val="BodyText"/>
      </w:pPr>
      <w:r>
        <w:rPr>
          <w:bCs/>
          <w:b/>
        </w:rPr>
        <w:t xml:space="preserve">The Board of Directors and Stakeholders</w:t>
      </w:r>
    </w:p>
    <w:bookmarkEnd w:id="20"/>
    <w:bookmarkStart w:id="21" w:name="i.-executive-summary"/>
    <w:p>
      <w:pPr>
        <w:pStyle w:val="Heading3"/>
      </w:pPr>
      <w:r>
        <w:rPr>
          <w:u w:val="single"/>
        </w:rPr>
        <w:t xml:space="preserve">I. Executive Summary</w:t>
      </w:r>
    </w:p>
    <w:p>
      <w:pPr>
        <w:pStyle w:val="FirstParagraph"/>
      </w:pPr>
      <w:r>
        <w:t xml:space="preserve">The purpose of this Project Report is to outline the strategic expansion and operational framework for introducing a high-tier Chemist service facility within the metropolitan area of Canada, specifically Toronto. As the demand for specialized pharmaceutical, industrial, and analytical chemistry services continues to rise in North America's economic hub, establishing a robust Chemist presence in Toronto presents a significant opportunity for growth. This report details the market analysis regulatory considerations specific to Health Canada and provincial laws as well as operational strategies designed to meet the unique needs of clients seeking top-tier chemical expertise.</w:t>
      </w:r>
    </w:p>
    <w:p>
      <w:pPr>
        <w:pStyle w:val="BodyText"/>
      </w:pPr>
      <w:r>
        <w:rPr>
          <w:bCs/>
          <w:b/>
        </w:rPr>
        <w:t xml:space="preserve">Key Objective:</w:t>
      </w:r>
      <w:r>
        <w:t xml:space="preserve"> </w:t>
      </w:r>
      <w:r>
        <w:t xml:space="preserve">To establish a premier Chemist facility in Toronto, ensuring full compliance with Canadian regulations while delivering exceptional value to healthcare providers, research institutions, and industrial partners.</w:t>
      </w:r>
    </w:p>
    <w:bookmarkEnd w:id="21"/>
    <w:bookmarkStart w:id="22" w:name="Xb1f36cffcc22d9b577633384bda4eb031ebd5c9"/>
    <w:p>
      <w:pPr>
        <w:pStyle w:val="Heading3"/>
      </w:pPr>
      <w:r>
        <w:rPr>
          <w:u w:val="single"/>
        </w:rPr>
        <w:t xml:space="preserve">I1. Market Analysis: The Need for a Chemist in Toronto</w:t>
      </w:r>
    </w:p>
    <w:p>
      <w:pPr>
        <w:pStyle w:val="FirstParagraph"/>
      </w:pPr>
      <w:r>
        <w:t xml:space="preserve">Toronto is not only the largest city in Canada but also a global center for life sciences, pharmaceutical manufacturing, and academic research. The concentration of hospitals, biotech startups, and universities creates a sustained demand for specialized Chemist services.</w:t>
      </w:r>
    </w:p>
    <w:p>
      <w:pPr>
        <w:numPr>
          <w:ilvl w:val="0"/>
          <w:numId w:val="1001"/>
        </w:numPr>
        <w:pStyle w:val="Compact"/>
      </w:pPr>
      <w:r>
        <w:rPr>
          <w:bCs/>
          <w:b/>
        </w:rPr>
        <w:t xml:space="preserve">Healthcare Sector:</w:t>
      </w:r>
      <w:r>
        <w:t xml:space="preserve"> </w:t>
      </w:r>
      <w:r>
        <w:t xml:space="preserve">Hospitals across Ontario require precise compounding services and sterile medication preparation.</w:t>
      </w:r>
    </w:p>
    <w:p>
      <w:pPr>
        <w:numPr>
          <w:ilvl w:val="0"/>
          <w:numId w:val="1001"/>
        </w:numPr>
        <w:pStyle w:val="Compact"/>
      </w:pPr>
      <w:r>
        <w:rPr>
          <w:bCs/>
          <w:b/>
        </w:rPr>
        <w:t xml:space="preserve">Academic Research:</w:t>
      </w:r>
      <w:r>
        <w:t xml:space="preserve"> </w:t>
      </w:r>
      <w:r>
        <w:t xml:space="preserve">Institutions such as the University of Toronto rely heavily on external Chemist support for complex analytical testing.</w:t>
      </w:r>
    </w:p>
    <w:p>
      <w:pPr>
        <w:numPr>
          <w:ilvl w:val="0"/>
          <w:numId w:val="1001"/>
        </w:numPr>
        <w:pStyle w:val="Compact"/>
      </w:pPr>
      <w:r>
        <w:rPr>
          <w:bCs/>
          <w:b/>
        </w:rPr>
        <w:t xml:space="preserve">Growing Population:</w:t>
      </w:r>
      <w:r>
        <w:t xml:space="preserve"> </w:t>
      </w:r>
      <w:r>
        <w:t xml:space="preserve">As Canada's most populous province, Ontario has a growing demographic that requires consistent access to pharmaceutical services.</w:t>
      </w:r>
    </w:p>
    <w:bookmarkEnd w:id="22"/>
    <w:bookmarkStart w:id="23" w:name="i2.-regulatory-environment-in-canada"/>
    <w:p>
      <w:pPr>
        <w:pStyle w:val="Heading3"/>
      </w:pPr>
      <w:r>
        <w:rPr>
          <w:u w:val="single"/>
        </w:rPr>
        <w:t xml:space="preserve">I2. Regulatory Environment in Canada</w:t>
      </w:r>
    </w:p>
    <w:p>
      <w:pPr>
        <w:pStyle w:val="FirstParagraph"/>
      </w:pPr>
      <w:r>
        <w:t xml:space="preserve">Operating a Chemist business in Canada involves navigating strict regulatory frameworks. Unlike the United States, which operates under the FDA, Canadian businesses must adhere to guidelines set by Health Canada and provincial college of pharmacists or chemists boards.</w:t>
      </w:r>
    </w:p>
    <w:p>
      <w:pPr>
        <w:pStyle w:val="BodyText"/>
      </w:pPr>
      <w:r>
        <w:rPr>
          <w:bCs/>
          <w:b/>
        </w:rPr>
        <w:t xml:space="preserve">Regulatory Body</w:t>
      </w:r>
    </w:p>
    <w:bookmarkEnd w:id="23"/>
    <w:p>
      <w:pPr>
        <w:pStyle w:val="BodyText"/>
      </w:pPr>
      <w:r>
        <w:rPr>
          <w:bCs/>
          <w:b/>
        </w:rPr>
        <w:t xml:space="preserve">Jurisdiction &amp; Focus</w:t>
      </w:r>
    </w:p>
    <w:p>
      <w:pPr>
        <w:pStyle w:val="BodyText"/>
      </w:pPr>
      <w:r>
        <w:t xml:space="preserve">The Project Team will ensure that all personnel hold valid licenses to practice as Chemists under the Ontario College of Pharmacists or equivalent chemical industry standards. Furthermore, laboratory facilities must meet Good Manufacturing Practices (GMP) as defined by Health Canada.</w:t>
      </w:r>
    </w:p>
    <w:bookmarkStart w:id="24" w:name="i3.-operational-strategy"/>
    <w:p>
      <w:pPr>
        <w:pStyle w:val="Heading3"/>
      </w:pPr>
      <w:r>
        <w:rPr>
          <w:u w:val="single"/>
        </w:rPr>
        <w:t xml:space="preserve">I3. Operational Strategy</w:t>
      </w:r>
    </w:p>
    <w:p>
      <w:pPr>
        <w:pStyle w:val="FirstParagraph"/>
      </w:pPr>
      <w:r>
        <w:t xml:space="preserve">To successfully launch the Chemist project in Toronto, we propose a three-phased operational approach:</w:t>
      </w:r>
    </w:p>
    <w:p>
      <w:pPr>
        <w:numPr>
          <w:ilvl w:val="0"/>
          <w:numId w:val="1002"/>
        </w:numPr>
        <w:pStyle w:val="Compact"/>
      </w:pPr>
      <w:r>
        <w:rPr>
          <w:bCs/>
          <w:b/>
        </w:rPr>
        <w:t xml:space="preserve">Phase 1: Site Selection and Compliance (Months 1-6)</w:t>
      </w:r>
      <w:r>
        <w:br/>
      </w:r>
      <w:r>
        <w:t xml:space="preserve">Identify a commercial space in the downtown core or near major medical hubs like the University Health Network. Begin the process of acquiring necessary licenses from local municipal authorities and provincial health agencies.</w:t>
      </w:r>
    </w:p>
    <w:p>
      <w:pPr>
        <w:numPr>
          <w:ilvl w:val="0"/>
          <w:numId w:val="1002"/>
        </w:numPr>
        <w:pStyle w:val="Compact"/>
      </w:pPr>
      <w:r>
        <w:rPr>
          <w:bCs/>
          <w:b/>
        </w:rPr>
        <w:t xml:space="preserve">Phase 2: Infrastructure Setup (Months 7-12)</w:t>
      </w:r>
      <w:r>
        <w:br/>
      </w:r>
      <w:r>
        <w:t xml:space="preserve">Construct state-of-the-art laboratories equipped with modern chromatography, mass spectrometry, and synthesis equipment. Hire a core team of certified Chemists, lab technicians, and quality assurance officers.</w:t>
      </w:r>
    </w:p>
    <w:p>
      <w:pPr>
        <w:numPr>
          <w:ilvl w:val="0"/>
          <w:numId w:val="1002"/>
        </w:numPr>
        <w:pStyle w:val="Compact"/>
      </w:pPr>
      <w:r>
        <w:rPr>
          <w:bCs/>
          <w:b/>
        </w:rPr>
        <w:t xml:space="preserve">Phase 3: Pilot Launch and Scaling (Months 13-18)</w:t>
      </w:r>
      <w:r>
        <w:br/>
      </w:r>
      <w:r>
        <w:t xml:space="preserve">Begin pilot services with selected partners to test workflows. Gather feedback from initial clients in Toronto. Adjust operations as needed before scaling up to serve a broader regional and national audience.</w:t>
      </w:r>
    </w:p>
    <w:bookmarkEnd w:id="24"/>
    <w:bookmarkStart w:id="25" w:name="i4.-financial-projections"/>
    <w:p>
      <w:pPr>
        <w:pStyle w:val="Heading3"/>
      </w:pPr>
      <w:r>
        <w:rPr>
          <w:u w:val="single"/>
        </w:rPr>
        <w:t xml:space="preserve">I4. Financial Projections</w:t>
      </w:r>
    </w:p>
    <w:p>
      <w:pPr>
        <w:pStyle w:val="FirstParagraph"/>
      </w:pPr>
      <w:r>
        <w:t xml:space="preserve">The financial viability of the Chemist project is supported by several revenue streams, including service fees for chemical analysis, contract manufacturing for pharmaceutical companies, and educational workshops. Initial capital expenditure is estimated at $2.5 million CAD to cover facility renovation, equipment procurement, and legal fees. Based on conservative estimates of client acquisition in Toronto's competitive market break-even is projected within 36 months.</w:t>
      </w:r>
    </w:p>
    <w:p>
      <w:pPr>
        <w:numPr>
          <w:ilvl w:val="0"/>
          <w:numId w:val="1003"/>
        </w:numPr>
        <w:pStyle w:val="Compact"/>
      </w:pPr>
      <w:r>
        <w:t xml:space="preserve">Year 1: Investment phase with negative cash flow due to setup costs.</w:t>
      </w:r>
    </w:p>
    <w:p>
      <w:pPr>
        <w:numPr>
          <w:ilvl w:val="0"/>
          <w:numId w:val="1003"/>
        </w:numPr>
        <w:pStyle w:val="Compact"/>
      </w:pPr>
      <w:r>
        <w:t xml:space="preserve">Year 2: Break-even point reached as contracts are secured.</w:t>
      </w:r>
    </w:p>
    <w:bookmarkEnd w:id="25"/>
    <w:bookmarkStart w:id="26" w:name="i5.-conclusion"/>
    <w:p>
      <w:pPr>
        <w:pStyle w:val="Heading3"/>
      </w:pPr>
      <w:r>
        <w:rPr>
          <w:u w:val="single"/>
        </w:rPr>
        <w:t xml:space="preserve">I5. Conclusion</w:t>
      </w:r>
    </w:p>
    <w:p>
      <w:pPr>
        <w:pStyle w:val="FirstParagraph"/>
      </w:pPr>
      <w:r>
        <w:t xml:space="preserve">In summary the Project Report highlights that Toronto's position as Canada's leading economic hub makes it an ideal location for our Chemist initiative. By focusing on quality compliance and strategic partnerships we are poised to become a leader in the Canadian chemical industry.</w:t>
      </w:r>
    </w:p>
    <w:p>
      <w:pPr>
        <w:numPr>
          <w:ilvl w:val="0"/>
          <w:numId w:val="1004"/>
        </w:numPr>
        <w:pStyle w:val="Compact"/>
      </w:pPr>
      <w:r>
        <w:t xml:space="preserve">The need for specialized services is undeniable.</w:t>
      </w:r>
    </w:p>
    <w:bookmarkEnd w:id="26"/>
    <w:bookmarkStart w:id="27" w:name="i6.-recommendations"/>
    <w:p>
      <w:pPr>
        <w:pStyle w:val="Heading3"/>
      </w:pPr>
      <w:r>
        <w:rPr>
          <w:u w:val="single"/>
        </w:rPr>
        <w:t xml:space="preserve">I6. Recommendations</w:t>
      </w:r>
    </w:p>
    <w:p>
      <w:pPr>
        <w:pStyle w:val="FirstParagraph"/>
      </w:pPr>
      <w:r>
        <w:t xml:space="preserve">Based on the findings outlined above it is recommended that:</w:t>
      </w:r>
      <w:r>
        <w:t xml:space="preserve"> </w:t>
      </w:r>
      <w:r>
        <w:t xml:space="preserve">1. Allocate initial funding for site acquisition and legal consultation.</w:t>
      </w:r>
      <w:r>
        <w:br/>
      </w:r>
      <w:r>
        <w:t xml:space="preserve">2. Begin recruitment of senior Chemist staff with experience in Canadian regulatory environments.</w:t>
      </w:r>
      <w:r>
        <w:br/>
      </w:r>
      <w:r>
        <w:t xml:space="preserve">3. Establish partnerships with local Toronto universities to facilitate talent pipeline and research collaboration.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Services in Canada Toronto</dc:title>
  <dc:creator/>
  <dc:language>en</dc:language>
  <cp:keywords/>
  <dcterms:created xsi:type="dcterms:W3CDTF">2026-07-29T06:08:49Z</dcterms:created>
  <dcterms:modified xsi:type="dcterms:W3CDTF">2026-07-29T06:08:49Z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