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Chemist</w:t>
      </w:r>
      <w:r>
        <w:t xml:space="preserve"> </w:t>
      </w:r>
      <w:r>
        <w:t xml:space="preserve">Services</w:t>
      </w:r>
      <w:r>
        <w:t xml:space="preserve"> </w:t>
      </w:r>
      <w:r>
        <w:t xml:space="preserve">in</w:t>
      </w:r>
      <w:r>
        <w:t xml:space="preserve"> </w:t>
      </w:r>
      <w:r>
        <w:t xml:space="preserve">Germany</w:t>
      </w:r>
      <w:r>
        <w:t xml:space="preserve"> </w:t>
      </w:r>
      <w:r>
        <w:t xml:space="preserve">Berlin</w:t>
      </w:r>
    </w:p>
    <w:bookmarkStart w:id="34" w:name="X5126e317c24fc41d7e11b21251960efc9b5b169"/>
    <w:p>
      <w:pPr>
        <w:pStyle w:val="Heading1"/>
      </w:pPr>
      <w:r>
        <w:t xml:space="preserve">Project Report: Strategic Implementation of Advanced Chemist Services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p>
    <w:p>
      <w:pPr>
        <w:pStyle w:val="BodyText"/>
      </w:pPr>
      <w:r>
        <w:t xml:space="preserve">The European Expansion Division</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"Strategic Implementation of Advanced Chemist Services in Germany Berlin," outlines the comprehensive strategy for establishing a state-of-the-art chemical research and dispensing facility within the capital city of Germany, Berlin. The primary objective is to leverage the unique scientific ecosystem of</w:t>
      </w:r>
      <w:r>
        <w:t xml:space="preserve"> </w:t>
      </w:r>
      <w:r>
        <w:rPr>
          <w:bCs/>
          <w:b/>
        </w:rPr>
        <w:t xml:space="preserve">Germany Berlin</w:t>
      </w:r>
      <w:r>
        <w:t xml:space="preserve"> </w:t>
      </w:r>
      <w:r>
        <w:t xml:space="preserve">to create a hub for pharmaceutical innovation, industrial chemistry consulting, and public health support. This document details market analysis regulatory frameworks operational logistics and financial projections associated with launching this vital</w:t>
      </w:r>
      <w:r>
        <w:t xml:space="preserve"> </w:t>
      </w:r>
      <w:r>
        <w:rPr>
          <w:bCs/>
          <w:b/>
        </w:rPr>
        <w:t xml:space="preserve">Chemist</w:t>
      </w:r>
      <w:r>
        <w:t xml:space="preserve">-led initiative.</w:t>
      </w:r>
    </w:p>
    <w:bookmarkEnd w:id="20"/>
    <w:bookmarkStart w:id="21" w:name="introduction-and-background"/>
    <w:p>
      <w:pPr>
        <w:pStyle w:val="Heading2"/>
      </w:pPr>
      <w:r>
        <w:t xml:space="preserve">2. Introduction and Background</w:t>
      </w:r>
    </w:p>
    <w:p>
      <w:pPr>
        <w:pStyle w:val="FirstParagraph"/>
      </w:pPr>
      <w:r>
        <w:t xml:space="preserve">The chemical industry is a cornerstone of the German economy, contributing significantly to gross domestic product (GDP) through innovation in pharmaceuticals, materials science, and green chemistry. Within this robust landscape Berlin stands out as an emerging tech hub that blends traditional industrial strength with modern startup culture. This</w:t>
      </w:r>
      <w:r>
        <w:t xml:space="preserve"> </w:t>
      </w:r>
      <w:r>
        <w:rPr>
          <w:bCs/>
          <w:b/>
        </w:rPr>
        <w:t xml:space="preserve">Project Report</w:t>
      </w:r>
      <w:r>
        <w:t xml:space="preserve"> </w:t>
      </w:r>
      <w:r>
        <w:t xml:space="preserve">focuses on the critical role of a highly qualified</w:t>
      </w:r>
      <w:r>
        <w:t xml:space="preserve"> </w:t>
      </w:r>
      <w:r>
        <w:rPr>
          <w:bCs/>
          <w:b/>
        </w:rPr>
        <w:t xml:space="preserve">Chemist</w:t>
      </w:r>
      <w:r>
        <w:t xml:space="preserve">, whose expertise will drive both scientific accuracy and regulatory compliance.</w:t>
      </w:r>
    </w:p>
    <w:p>
      <w:pPr>
        <w:pStyle w:val="BodyText"/>
      </w:pPr>
      <w:r>
        <w:t xml:space="preserve">The choice of location is deliberate. Berlin offers proximity to leading research institutions such as the Humboldt University and numerous biotech startups. By anchoring our operations in this dynamic environment, we position ourselves at the intersection of academic research and commercial application. This report serves as a blueprint for navigating the complex regulatory waters while delivering high-quality chemical services tailored to local needs.</w:t>
      </w:r>
    </w:p>
    <w:bookmarkEnd w:id="21"/>
    <w:bookmarkStart w:id="24" w:name="market-analysis-in-germany-berlin"/>
    <w:p>
      <w:pPr>
        <w:pStyle w:val="Heading2"/>
      </w:pPr>
      <w:r>
        <w:t xml:space="preserve">3. Market Analysis in Germany Berlin</w:t>
      </w:r>
    </w:p>
    <w:bookmarkStart w:id="22" w:name="demand-for-specialized-chemical-services"/>
    <w:p>
      <w:pPr>
        <w:pStyle w:val="Heading3"/>
      </w:pPr>
      <w:r>
        <w:t xml:space="preserve">3.1 Demand for Specialized Chemical Services</w:t>
      </w:r>
    </w:p>
    <w:p>
      <w:pPr>
        <w:pStyle w:val="FirstParagraph"/>
      </w:pPr>
      <w:r>
        <w:t xml:space="preserve">In recent years, the demand for specialized chemical analysis and synthesis has grown exponentially across Europe. In Berlin specifically there is a rising need for sustainable chemistry solutions due to strict environmental regulations enforced by the EU and local authorities. A professional</w:t>
      </w:r>
      <w:r>
        <w:t xml:space="preserve"> </w:t>
      </w:r>
      <w:r>
        <w:rPr>
          <w:bCs/>
          <w:b/>
        </w:rPr>
        <w:t xml:space="preserve">Chemist</w:t>
      </w:r>
      <w:r>
        <w:t xml:space="preserve"> </w:t>
      </w:r>
      <w:r>
        <w:t xml:space="preserve">is not merely a dispenser of reagents but a consultant essential for ensuring that client projects adhere to these rigorous standards.</w:t>
      </w:r>
    </w:p>
    <w:bookmarkEnd w:id="22"/>
    <w:bookmarkStart w:id="23" w:name="competitive-landscape"/>
    <w:p>
      <w:pPr>
        <w:pStyle w:val="Heading3"/>
      </w:pPr>
      <w:r>
        <w:t xml:space="preserve">3.2 Competitive Landscape</w:t>
      </w:r>
    </w:p>
    <w:p>
      <w:pPr>
        <w:pStyle w:val="FirstParagraph"/>
      </w:pPr>
      <w:r>
        <w:t xml:space="preserve">The market in Berlin includes large multinational corporations and small boutique labs. However, there is a gap in the market for mid-sized entities that offer personalized service combined with cutting-edge technology. Our proposed facility aims to fill this niche by offering rapid turnaround times for analytical chemistry while maintaining the highest safety standards typical of top-tier German laboratories.</w:t>
      </w:r>
    </w:p>
    <w:bookmarkEnd w:id="23"/>
    <w:bookmarkEnd w:id="24"/>
    <w:bookmarkStart w:id="27" w:name="regulatory-framework-and-compliance"/>
    <w:p>
      <w:pPr>
        <w:pStyle w:val="Heading2"/>
      </w:pPr>
      <w:r>
        <w:t xml:space="preserve">4. Regulatory Framework and Compliance</w:t>
      </w:r>
    </w:p>
    <w:p>
      <w:pPr>
        <w:pStyle w:val="FirstParagraph"/>
      </w:pPr>
      <w:r>
        <w:t xml:space="preserve">Navigating the legal landscape is perhaps the most challenging aspect of this project report regarding operations in Germany Berlin. The presence of a licensed and experienced</w:t>
      </w:r>
      <w:r>
        <w:t xml:space="preserve"> </w:t>
      </w:r>
      <w:r>
        <w:rPr>
          <w:bCs/>
          <w:b/>
        </w:rPr>
        <w:t xml:space="preserve">Chemist</w:t>
      </w:r>
    </w:p>
    <w:p>
      <w:pPr>
        <w:pStyle w:val="BodyText"/>
      </w:pPr>
      <w:r>
        <w:br/>
      </w:r>
      <w:r>
        <w:t xml:space="preserve">is mandatory for compliance with several key regulations.</w:t>
      </w:r>
    </w:p>
    <w:bookmarkStart w:id="25" w:name="reach-and-clp-regulations"/>
    <w:p>
      <w:pPr>
        <w:pStyle w:val="Heading3"/>
      </w:pPr>
      <w:r>
        <w:t xml:space="preserve">4.1 REACH and CLP Regulations</w:t>
      </w:r>
    </w:p>
    <w:p>
      <w:pPr>
        <w:pStyle w:val="FirstParagraph"/>
      </w:pPr>
      <w:r>
        <w:t xml:space="preserve">All chemical substances must comply with the Registration, Evaluation, Authorisation and Restriction of Chemicals (REACH) regulation. Furthermore classification Labeling and Packaging (CLP) rules must be strictly followed. A dedicated</w:t>
      </w:r>
      <w:r>
        <w:t xml:space="preserve"> </w:t>
      </w:r>
      <w:r>
        <w:rPr>
          <w:bCs/>
          <w:b/>
        </w:rPr>
        <w:t xml:space="preserve">Chemist</w:t>
      </w:r>
    </w:p>
    <w:p>
      <w:pPr>
        <w:pStyle w:val="BodyText"/>
      </w:pPr>
      <w:r>
        <w:br/>
      </w:r>
      <w:r>
        <w:t xml:space="preserve">will oversee documentation to ensure that every product handled in our Berlin facility meets EU standards.</w:t>
      </w:r>
    </w:p>
    <w:bookmarkEnd w:id="25"/>
    <w:bookmarkStart w:id="26" w:name="local-licensing-in-berlin"/>
    <w:p>
      <w:pPr>
        <w:pStyle w:val="Heading3"/>
      </w:pPr>
      <w:r>
        <w:t xml:space="preserve">4.2 Local Licensing in Berlin</w:t>
      </w:r>
    </w:p>
    <w:p>
      <w:pPr>
        <w:pStyle w:val="FirstParagraph"/>
      </w:pPr>
      <w:r>
        <w:t xml:space="preserve">Beyond federal laws local authorities in Germany Berlin impose specific zoning and safety requirements for chemical facilities. This involves rigorous inspections regarding waste disposal storage capabilities and emergency response protocols. The project timeline includes a six-month period dedicated solely to securing these permits under the supervision of our lead regulatory affairs specialist.</w:t>
      </w:r>
    </w:p>
    <w:bookmarkEnd w:id="26"/>
    <w:bookmarkEnd w:id="27"/>
    <w:bookmarkStart w:id="30" w:name="operational-strategy"/>
    <w:p>
      <w:pPr>
        <w:pStyle w:val="Heading2"/>
      </w:pPr>
      <w:r>
        <w:t xml:space="preserve">5. Operational Strategy</w:t>
      </w:r>
    </w:p>
    <w:bookmarkStart w:id="28" w:name="facility-infrastructure"/>
    <w:p>
      <w:pPr>
        <w:pStyle w:val="Heading3"/>
      </w:pPr>
      <w:r>
        <w:t xml:space="preserve">5.1 Facility Infrastructure</w:t>
      </w:r>
    </w:p>
    <w:p>
      <w:pPr>
        <w:pStyle w:val="FirstParagraph"/>
      </w:pPr>
      <w:r>
        <w:t xml:space="preserve">The chosen site in Berlin’s Friedrichshain-Kreuzberg district is designed to accommodate modern laboratory equipment including high-performance liquid chromatography (HPLC) mass spectrometry units and automated synthesis modules. Safety features such as fume hoods chemical showers and explosion-proof storage are integrated into the design phase.</w:t>
      </w:r>
    </w:p>
    <w:bookmarkEnd w:id="28"/>
    <w:bookmarkStart w:id="29" w:name="human-resources"/>
    <w:p>
      <w:pPr>
        <w:pStyle w:val="Heading3"/>
      </w:pPr>
      <w:r>
        <w:t xml:space="preserve">5.2 Human Resources</w:t>
      </w:r>
    </w:p>
    <w:p>
      <w:pPr>
        <w:pStyle w:val="FirstParagraph"/>
      </w:pPr>
      <w:r>
        <w:t xml:space="preserve">The core team will consist of five senior chemists three laboratory technicians and one regulatory affairs manager. Emphasis is placed on hiring individuals with fluency in both English and German to facilitate communication with local partners in Berlin while maintaining international business standards.</w:t>
      </w:r>
    </w:p>
    <w:bookmarkEnd w:id="29"/>
    <w:bookmarkEnd w:id="30"/>
    <w:bookmarkStart w:id="31" w:name="financial-projections"/>
    <w:p>
      <w:pPr>
        <w:pStyle w:val="Heading2"/>
      </w:pPr>
      <w:r>
        <w:t xml:space="preserve">6. Financial Projections</w:t>
      </w:r>
    </w:p>
    <w:p>
      <w:pPr>
        <w:pStyle w:val="FirstParagraph"/>
      </w:pPr>
      <w:r>
        <w:t xml:space="preserve">This section of the project report provides an overview of the estimated costs and revenue streams over the first three years. Initial capital expenditure includes facility lease renovation equipment purchase and licensing fees totaling approximately 1.5 million euros expected in Germany Berlin.</w:t>
      </w:r>
    </w:p>
    <w:p>
      <w:pPr>
        <w:numPr>
          <w:ilvl w:val="0"/>
          <w:numId w:val="1001"/>
        </w:numPr>
        <w:pStyle w:val="Compact"/>
      </w:pPr>
      <w:r>
        <w:rPr>
          <w:bCs/>
          <w:b/>
        </w:rPr>
        <w:t xml:space="preserve">Year 1:</w:t>
      </w:r>
    </w:p>
    <w:p>
      <w:pPr>
        <w:numPr>
          <w:ilvl w:val="0"/>
          <w:numId w:val="1000"/>
        </w:numPr>
        <w:pStyle w:val="Compact"/>
      </w:pPr>
      <w:r>
        <w:br/>
      </w:r>
      <w:r>
        <w:t xml:space="preserve">Focus on setup and certification. Expected loss due to initial investments.</w:t>
      </w:r>
    </w:p>
    <w:p>
      <w:pPr>
        <w:numPr>
          <w:ilvl w:val="0"/>
          <w:numId w:val="1001"/>
        </w:numPr>
        <w:pStyle w:val="Compact"/>
      </w:pPr>
      <w:r>
        <w:rPr>
          <w:bCs/>
          <w:b/>
        </w:rPr>
        <w:t xml:space="preserve">Year 2:</w:t>
      </w:r>
      <w:r>
        <w:br/>
      </w:r>
      <w:r>
        <w:t xml:space="preserve">Break-even point reached as client base stabilizes.</w:t>
      </w:r>
    </w:p>
    <w:p>
      <w:pPr>
        <w:numPr>
          <w:ilvl w:val="0"/>
          <w:numId w:val="1001"/>
        </w:numPr>
        <w:pStyle w:val="Compact"/>
      </w:pPr>
      <w:r>
        <w:rPr>
          <w:bCs/>
          <w:b/>
        </w:rPr>
        <w:t xml:space="preserve">Year 3:</w:t>
      </w:r>
    </w:p>
    <w:p>
      <w:pPr>
        <w:numPr>
          <w:ilvl w:val="0"/>
          <w:numId w:val="1000"/>
        </w:numPr>
        <w:pStyle w:val="Compact"/>
      </w:pPr>
      <w:r>
        <w:br/>
      </w:r>
      <w:r>
        <w:t xml:space="preserve">Profitability achieved with a projected net margin of 15% driven by expanded service offerings in green chemistry consulting.</w:t>
      </w:r>
    </w:p>
    <w:bookmarkEnd w:id="31"/>
    <w:bookmarkStart w:id="32" w:name="risk-management"/>
    <w:p>
      <w:pPr>
        <w:pStyle w:val="Heading2"/>
      </w:pPr>
      <w:r>
        <w:t xml:space="preserve">7. Risk Management</w:t>
      </w:r>
    </w:p>
    <w:p>
      <w:pPr>
        <w:pStyle w:val="FirstParagraph"/>
      </w:pPr>
      <w:r>
        <w:t xml:space="preserve">Risks associated with this project include regulatory changes supply chain disruptions and talent acquisition challenges. To mitigate these risks we have established partnerships with multiple suppliers across Europe ensuring continuity even if one source fails in Berlin. Additionally competitive salaries and professional development opportunities are offered to retain top chemical talent.</w:t>
      </w:r>
    </w:p>
    <w:bookmarkEnd w:id="32"/>
    <w:bookmarkStart w:id="33" w:name="conclusion"/>
    <w:p>
      <w:pPr>
        <w:pStyle w:val="Heading2"/>
      </w:pPr>
      <w:r>
        <w:t xml:space="preserve">8. Conclusion</w:t>
      </w:r>
    </w:p>
    <w:p>
      <w:pPr>
        <w:pStyle w:val="FirstParagraph"/>
      </w:pPr>
      <w:r>
        <w:t xml:space="preserve">In conclusion this project report underscores the viability and necessity of establishing a premier chemical service provider in Germany Berlin. The strategic integration of advanced scientific expertise through our team of dedicated chemists ensures that we meet both current market demands and future regulatory trends. By investing in this initiative we not only contribute to the economic growth of Berlin but also reinforce Germany’s position as a global leader in chemistry and pharmaceutical innovation.</w:t>
      </w:r>
    </w:p>
    <w:p>
      <w:pPr>
        <w:pStyle w:val="BodyText"/>
      </w:pPr>
      <w:r>
        <w:t xml:space="preserve">We recommend proceeding with the next phase which involves finalizing lease agreements and initiating recruitment for key</w:t>
      </w:r>
      <w:r>
        <w:t xml:space="preserve"> </w:t>
      </w:r>
      <w:r>
        <w:rPr>
          <w:bCs/>
          <w:b/>
        </w:rPr>
        <w:t xml:space="preserve">Chemist</w:t>
      </w:r>
    </w:p>
    <w:p>
      <w:pPr>
        <w:pStyle w:val="BodyText"/>
      </w:pPr>
      <w:r>
        <w:br/>
      </w:r>
      <w:r>
        <w:t xml:space="preserve">positions. The foundation laid today will support sustainable growth for years to come.</w:t>
      </w:r>
    </w:p>
    <w:p>
      <w:r>
        <w:pict>
          <v:rect style="width:0;height:1.5pt" o:hralign="center" o:hrstd="t" o:hr="t"/>
        </w:pict>
      </w:r>
    </w:p>
    <w:p>
      <w:pPr>
        <w:pStyle w:val="FirstParagraph"/>
      </w:pPr>
      <w:r>
        <w:rPr>
          <w:iCs/>
          <w:i/>
        </w:rPr>
        <w:t xml:space="preserve">This document constitutes a confidential project report prepared specifically for internal review regarding the expansion into Germany Berlin.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Chemist Services in Germany Berlin</dc:title>
  <dc:creator/>
  <dc:language>en</dc:language>
  <cp:keywords/>
  <dcterms:created xsi:type="dcterms:W3CDTF">2026-07-29T09:09:43Z</dcterms:created>
  <dcterms:modified xsi:type="dcterms:W3CDTF">2026-07-29T09:09:43Z</dcterms:modified>
</cp:coreProperties>
</file>

<file path=docProps/custom.xml><?xml version="1.0" encoding="utf-8"?>
<Properties xmlns="http://schemas.openxmlformats.org/officeDocument/2006/custom-properties" xmlns:vt="http://schemas.openxmlformats.org/officeDocument/2006/docPropsVTypes"/>
</file>