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Establishment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Specialized</w:t>
      </w:r>
      <w:r>
        <w:t xml:space="preserve"> </w:t>
      </w:r>
      <w:r>
        <w:t xml:space="preserve">Chemist</w:t>
      </w:r>
      <w:r>
        <w:t xml:space="preserve"> </w:t>
      </w:r>
      <w:r>
        <w:t xml:space="preserve">Facility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20" w:name="Xef4f8d2f6f0b93ef5a9f48aa0442e957c0840a2"/>
    <w:p>
      <w:pPr>
        <w:pStyle w:val="Heading1"/>
      </w:pPr>
      <w:r>
        <w:t xml:space="preserve">Project Report: Strategic Establishment of a Specialized Chemist Facility in Germany Frankfurt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Board of Directors and Stakeholders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Establishment of a Specialized Chemist Facility in Germany Frankfurt</dc:title>
  <dc:creator/>
  <dc:language>en</dc:language>
  <cp:keywords/>
  <dcterms:created xsi:type="dcterms:W3CDTF">2026-07-29T04:46:02Z</dcterms:created>
  <dcterms:modified xsi:type="dcterms:W3CDTF">2026-07-29T04:46:02Z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