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Kenya</w:t>
      </w:r>
      <w:r>
        <w:t xml:space="preserve"> </w:t>
      </w:r>
      <w:r>
        <w:t xml:space="preserve">Nairobi</w:t>
      </w:r>
    </w:p>
    <w:bookmarkStart w:id="38" w:name="X62a7ce7cf518751f2ce012211fbec387308727e"/>
    <w:p>
      <w:pPr>
        <w:pStyle w:val="Heading1"/>
      </w:pPr>
      <w:r>
        <w:t xml:space="preserve">Project Report: Establishment of a Premium Chemist in Kenya Nairobi</w:t>
      </w:r>
    </w:p>
    <w:bookmarkStart w:id="20" w:name="date"/>
    <w:p>
      <w:pPr>
        <w:pStyle w:val="Heading2"/>
      </w:pPr>
      <w:r>
        <w:rPr>
          <w:bCs/>
          <w:b/>
        </w:rPr>
        <w:t xml:space="preserve">Date:</w:t>
      </w:r>
    </w:p>
    <w:p>
      <w:pPr>
        <w:pStyle w:val="FirstParagraph"/>
      </w:pPr>
      <w:r>
        <w:t xml:space="preserve">October 24, 2023</w:t>
      </w:r>
      <w:r>
        <w:br/>
      </w:r>
      <w:r>
        <w:rPr>
          <w:bCs/>
          <w:b/>
        </w:rPr>
        <w:t xml:space="preserve">Prepared For:</w:t>
      </w:r>
      <w:r>
        <w:t xml:space="preserve"> </w:t>
      </w:r>
      <w:r>
        <w:t xml:space="preserve">Project Stakeholders &amp; Investment Board</w:t>
      </w:r>
      <w:r>
        <w:br/>
      </w:r>
      <w:r>
        <w:rPr>
          <w:bCs/>
          <w:b/>
        </w:rPr>
        <w:t xml:space="preserve">Prepared By:</w:t>
      </w:r>
      <w:r>
        <w:t xml:space="preserve"> </w:t>
      </w:r>
      <w:r>
        <w:t xml:space="preserve">Strategic Development Team</w:t>
      </w:r>
      <w:r>
        <w:br/>
      </w:r>
    </w:p>
    <w:bookmarkEnd w:id="20"/>
    <w:bookmarkStart w:id="21" w:name="location-focus"/>
    <w:p>
      <w:pPr>
        <w:pStyle w:val="Heading2"/>
      </w:pPr>
      <w:r>
        <w:rPr>
          <w:bCs/>
          <w:b/>
        </w:rPr>
        <w:t xml:space="preserve">Location Focus:</w:t>
      </w:r>
    </w:p>
    <w:p>
      <w:pPr>
        <w:pStyle w:val="FirstParagraph"/>
      </w:pPr>
      <w:r>
        <w:t xml:space="preserve">Nairobi, Kenya</w:t>
      </w:r>
    </w:p>
    <w:bookmarkEnd w:id="21"/>
    <w:bookmarkStart w:id="22" w:name="executive-summary"/>
    <w:p>
      <w:pPr>
        <w:pStyle w:val="Heading2"/>
      </w:pPr>
      <w:r>
        <w:t xml:space="preserve">1. Executive Summary</w:t>
      </w:r>
    </w:p>
    <w:p>
      <w:pPr>
        <w:pStyle w:val="FirstParagraph"/>
      </w:pPr>
      <w:r>
        <w:t xml:space="preserve">This Project Report outlines the strategic proposal to establish a high-standard Chemist retail outlet within the bustling commercial hub of Kenya, specifically targeting Nairobi. The pharmaceutical retail sector in Kenya is undergoing significant transformation, driven by rapid urbanization and a growing middle class that demands higher quality healthcare services. This document details the operational framework, market analysis, regulatory compliance requirements for operating a Chemist in this region, and the projected financial viability of the project.</w:t>
      </w:r>
    </w:p>
    <w:p>
      <w:pPr>
        <w:pStyle w:val="BodyText"/>
      </w:pPr>
      <w:r>
        <w:t xml:space="preserve">The primary objective is to create a trusted healthcare destination in Nairobi that bridges the gap between affordable medication access and premium customer service. By leveraging modern supply chain logistics tailored to Kenyan infrastructure challenges, we aim to become a leading Chemist brand in Kenya Nairobi within the first three years of operation.</w:t>
      </w:r>
    </w:p>
    <w:bookmarkEnd w:id="22"/>
    <w:bookmarkStart w:id="26" w:name="X873af282563ce6b7d7f4f5649369ebc6545a9bb"/>
    <w:p>
      <w:pPr>
        <w:pStyle w:val="Heading2"/>
      </w:pPr>
      <w:r>
        <w:t xml:space="preserve">2. Market Analysis: The Context of Kenya Nairobi</w:t>
      </w:r>
    </w:p>
    <w:p>
      <w:pPr>
        <w:pStyle w:val="FirstParagraph"/>
      </w:pPr>
      <w:r>
        <w:t xml:space="preserve">Nairobi is not only the economic engine of Kenya but also the medical hub for East Africa. As a Chemist operating in this specific locale, one must understand the unique dynamics of the Kenyan market.</w:t>
      </w:r>
    </w:p>
    <w:bookmarkStart w:id="23" w:name="a.-demographic-trends"/>
    <w:p>
      <w:pPr>
        <w:pStyle w:val="Heading3"/>
      </w:pPr>
      <w:r>
        <w:rPr>
          <w:bCs/>
          <w:b/>
        </w:rPr>
        <w:t xml:space="preserve">A. Demographic Trends</w:t>
      </w:r>
    </w:p>
    <w:p>
      <w:pPr>
        <w:pStyle w:val="FirstParagraph"/>
      </w:pPr>
      <w:r>
        <w:t xml:space="preserve">Nairobi has a population exceeding 4 million people within its city limits and over 10 million in the greater metropolitan area. There is a distinct rise in non-communicable diseases such as diabetes, hypertension, and heart conditions among the urban population in Kenya. This shift necessitates a Chemist model that offers continuous care, chronic medication management, and health education rather than just transactional drug sales.</w:t>
      </w:r>
    </w:p>
    <w:bookmarkEnd w:id="23"/>
    <w:bookmarkStart w:id="24" w:name="b.-competitive-landscape"/>
    <w:p>
      <w:pPr>
        <w:pStyle w:val="Heading3"/>
      </w:pPr>
      <w:r>
        <w:rPr>
          <w:bCs/>
          <w:b/>
        </w:rPr>
        <w:t xml:space="preserve">B. Competitive Landscape</w:t>
      </w:r>
    </w:p>
    <w:p>
      <w:pPr>
        <w:pStyle w:val="FirstParagraph"/>
      </w:pPr>
      <w:r>
        <w:t xml:space="preserve">The Chemist landscape in Nairobi is fragmented. On one end, there are large multinational chains and local conglomerates dominating the high-end suburbs like Westlands and Karen. On the other, numerous small-scale drug shops operate in lower-income areas such as Mathare or Kibera. Our proposed project positions itself as a mid-to-high-tier Chemist, focusing on convenience store formats located near major business parks and residential estates in Nairobi, such as Kilimani, Lavington, and South B.</w:t>
      </w:r>
    </w:p>
    <w:bookmarkEnd w:id="24"/>
    <w:bookmarkStart w:id="25" w:name="c.-consumer-behavior"/>
    <w:p>
      <w:pPr>
        <w:pStyle w:val="Heading3"/>
      </w:pPr>
      <w:r>
        <w:rPr>
          <w:bCs/>
          <w:b/>
        </w:rPr>
        <w:t xml:space="preserve">C. Consumer Behavior</w:t>
      </w:r>
    </w:p>
    <w:p>
      <w:pPr>
        <w:pStyle w:val="FirstParagraph"/>
      </w:pPr>
      <w:r>
        <w:t xml:space="preserve">Mobility in Kenya is largely driven by matatus (public minibus taxis) and increasingly by ride-hailing apps like Uber and Bolt. Therefore, the location of our Chemist must be accessible via these transport networks. Furthermore, digital literacy in Nairobi is high; integrating mobile money payments (M-Pesa) into the checkout process at the Chemist is not optional but mandatory for success.</w:t>
      </w:r>
    </w:p>
    <w:bookmarkEnd w:id="25"/>
    <w:bookmarkEnd w:id="26"/>
    <w:bookmarkStart w:id="30" w:name="operational-strategy"/>
    <w:p>
      <w:pPr>
        <w:pStyle w:val="Heading2"/>
      </w:pPr>
      <w:r>
        <w:t xml:space="preserve">3. Operational Strategy</w:t>
      </w:r>
    </w:p>
    <w:bookmarkStart w:id="27" w:name="a.-regulatory-compliance-in-kenya"/>
    <w:p>
      <w:pPr>
        <w:pStyle w:val="Heading3"/>
      </w:pPr>
      <w:r>
        <w:rPr>
          <w:bCs/>
          <w:b/>
        </w:rPr>
        <w:t xml:space="preserve">A. Regulatory Compliance in Kenya</w:t>
      </w:r>
    </w:p>
    <w:p>
      <w:pPr>
        <w:pStyle w:val="FirstParagraph"/>
      </w:pPr>
      <w:r>
        <w:t xml:space="preserve">To operate a Chemist legally in Kenya, strict adherence to the Pharmacy and Poisons Board (PPB) regulations is required. This Project Report emphasizes that the initial setup must prioritize obtaining the appropriate license for a Retail Pharmacy Premises. Additionally, because we are operating in Nairobi, we must comply with county-level business permits from the Nairobi City County Government.</w:t>
      </w:r>
    </w:p>
    <w:bookmarkEnd w:id="27"/>
    <w:bookmarkStart w:id="28" w:name="b.-supply-chain-and-inventory-management"/>
    <w:p>
      <w:pPr>
        <w:pStyle w:val="Heading3"/>
      </w:pPr>
      <w:r>
        <w:rPr>
          <w:bCs/>
          <w:b/>
        </w:rPr>
        <w:t xml:space="preserve">B. Supply Chain and Inventory Management</w:t>
      </w:r>
    </w:p>
    <w:p>
      <w:pPr>
        <w:pStyle w:val="FirstParagraph"/>
      </w:pPr>
      <w:r>
        <w:t xml:space="preserve">Sourcing pharmaceuticals in Kenya can be complex due to import duties and occasional stockouts of specialized drugs. The project proposes establishing direct partnerships with registered pharmaceutical distributors in Nairobi, such as those located near the Industrial Area or Mombasa Road logistics corridors. A robust inventory management system will be implemented to track expiry dates closely, a common challenge for Chemists in tropical climates.</w:t>
      </w:r>
    </w:p>
    <w:bookmarkEnd w:id="28"/>
    <w:bookmarkStart w:id="29" w:name="c.-technology-integration"/>
    <w:p>
      <w:pPr>
        <w:pStyle w:val="Heading3"/>
      </w:pPr>
      <w:r>
        <w:rPr>
          <w:bCs/>
          <w:b/>
        </w:rPr>
        <w:t xml:space="preserve">C. Technology Integration</w:t>
      </w:r>
    </w:p>
    <w:p>
      <w:pPr>
        <w:pStyle w:val="FirstParagraph"/>
      </w:pPr>
      <w:r>
        <w:t xml:space="preserve">We propose integrating an Electronic Medical Record (EMR) system compatible with the national health insurance framework. This will allow the Chemist in Nairobi to track patient history effectively, thereby improving drug adherence and customer loyalty.</w:t>
      </w:r>
    </w:p>
    <w:bookmarkEnd w:id="29"/>
    <w:bookmarkEnd w:id="30"/>
    <w:bookmarkStart w:id="31" w:name="human-resources"/>
    <w:p>
      <w:pPr>
        <w:pStyle w:val="Heading2"/>
      </w:pPr>
      <w:r>
        <w:t xml:space="preserve">4. Human Resources</w:t>
      </w:r>
    </w:p>
    <w:p>
      <w:pPr>
        <w:pStyle w:val="FirstParagraph"/>
      </w:pPr>
      <w:r>
        <w:t xml:space="preserve">The staffing model for this Chemist is designed to meet the standards of Kenya’s healthcare sector. Key roles include:</w:t>
      </w:r>
    </w:p>
    <w:p>
      <w:pPr>
        <w:numPr>
          <w:ilvl w:val="0"/>
          <w:numId w:val="1001"/>
        </w:numPr>
        <w:pStyle w:val="Compact"/>
      </w:pPr>
      <w:r>
        <w:rPr>
          <w:bCs/>
          <w:b/>
        </w:rPr>
        <w:t xml:space="preserve">Chef Pharmacist:</w:t>
      </w:r>
      <w:r>
        <w:t xml:space="preserve"> </w:t>
      </w:r>
      <w:r>
        <w:t xml:space="preserve">A licensed pharmacist registered with the Pharmaceutical Society of Kenya (PSK) must be on duty at all times when the Chemist is open. This individual will oversee clinical governance.</w:t>
      </w:r>
    </w:p>
    <w:p>
      <w:pPr>
        <w:numPr>
          <w:ilvl w:val="0"/>
          <w:numId w:val="1001"/>
        </w:numPr>
        <w:pStyle w:val="Compact"/>
      </w:pPr>
      <w:r>
        <w:rPr>
          <w:bCs/>
          <w:b/>
        </w:rPr>
        <w:t xml:space="preserve">Pharmacy Technicians and Dispensers:</w:t>
      </w:r>
      <w:r>
        <w:t xml:space="preserve"> </w:t>
      </w:r>
      <w:r>
        <w:t xml:space="preserve">Certified professionals from recognized Kenyan vocational training institutions who will handle the actual dispensing process.</w:t>
      </w:r>
    </w:p>
    <w:p>
      <w:pPr>
        <w:numPr>
          <w:ilvl w:val="0"/>
          <w:numId w:val="1001"/>
        </w:numPr>
        <w:pStyle w:val="Compact"/>
      </w:pPr>
      <w:r>
        <w:rPr>
          <w:bCs/>
          <w:b/>
        </w:rPr>
        <w:t xml:space="preserve">Sales Associates:</w:t>
      </w:r>
      <w:r>
        <w:t xml:space="preserve"> </w:t>
      </w:r>
      <w:r>
        <w:t xml:space="preserve">Staff trained in customer service and general wellness products to enhance the retail experience.</w:t>
      </w:r>
    </w:p>
    <w:p>
      <w:pPr>
        <w:pStyle w:val="FirstParagraph"/>
      </w:pPr>
      <w:r>
        <w:t xml:space="preserve">A strong culture of continuous professional development (CPD) will be fostered, ensuring that staff remain updated on new drug interactions and health trends relevant to the Kenyan population.</w:t>
      </w:r>
    </w:p>
    <w:bookmarkEnd w:id="31"/>
    <w:bookmarkStart w:id="35" w:name="financial-projections"/>
    <w:p>
      <w:pPr>
        <w:pStyle w:val="Heading2"/>
      </w:pPr>
      <w:r>
        <w:t xml:space="preserve">5. Financial Projections</w:t>
      </w:r>
    </w:p>
    <w:bookmarkStart w:id="32" w:name="a.-capital-expenditure-capex"/>
    <w:p>
      <w:pPr>
        <w:pStyle w:val="Heading3"/>
      </w:pPr>
      <w:r>
        <w:rPr>
          <w:bCs/>
          <w:b/>
        </w:rPr>
        <w:t xml:space="preserve">A. Capital Expenditure (CapEx)</w:t>
      </w:r>
    </w:p>
    <w:p>
      <w:pPr>
        <w:pStyle w:val="FirstParagraph"/>
      </w:pPr>
      <w:r>
        <w:t xml:space="preserve">The initial investment for setting up the Chemist in Nairobi includes costs for leasehold improvements, specialized refrigeration units (critical for maintaining vaccine and insulin integrity in Kenya’s climate), secure shelving, Point of Sale (POS) systems with M-Pesa integration, and legal fees. Preliminary estimates suggest a significant portion of the budget is allocated to security infrastructure due to the high value of pharmaceutical stock in urban centers like Nairobi.</w:t>
      </w:r>
    </w:p>
    <w:bookmarkEnd w:id="32"/>
    <w:bookmarkStart w:id="33" w:name="b.-revenue-streams"/>
    <w:p>
      <w:pPr>
        <w:pStyle w:val="Heading3"/>
      </w:pPr>
      <w:r>
        <w:rPr>
          <w:bCs/>
          <w:b/>
        </w:rPr>
        <w:t xml:space="preserve">B. Revenue Streams</w:t>
      </w:r>
    </w:p>
    <w:p>
      <w:pPr>
        <w:pStyle w:val="FirstParagraph"/>
      </w:pPr>
      <w:r>
        <w:t xml:space="preserve">Revenue will be generated through:</w:t>
      </w:r>
    </w:p>
    <w:p>
      <w:pPr>
        <w:numPr>
          <w:ilvl w:val="0"/>
          <w:numId w:val="1002"/>
        </w:numPr>
        <w:pStyle w:val="Compact"/>
      </w:pPr>
      <w:r>
        <w:t xml:space="preserve">Sale of Prescription and Over-the-Counter (OTC) drugs.</w:t>
      </w:r>
    </w:p>
    <w:p>
      <w:pPr>
        <w:numPr>
          <w:ilvl w:val="0"/>
          <w:numId w:val="1002"/>
        </w:numPr>
        <w:pStyle w:val="Compact"/>
      </w:pPr>
      <w:r>
        <w:t xml:space="preserve">Cosmetic and personal care products, which have high margins in Kenya Nairobi.</w:t>
      </w:r>
    </w:p>
    <w:p>
      <w:pPr>
        <w:numPr>
          <w:ilvl w:val="0"/>
          <w:numId w:val="1002"/>
        </w:numPr>
        <w:pStyle w:val="Compact"/>
      </w:pPr>
      <w:r>
        <w:t xml:space="preserve">Vaccination services, partnering with local clinics or the Ministry of Health.</w:t>
      </w:r>
    </w:p>
    <w:bookmarkEnd w:id="33"/>
    <w:bookmarkStart w:id="34" w:name="c.-return-on-investment-roi"/>
    <w:p>
      <w:pPr>
        <w:pStyle w:val="Heading3"/>
      </w:pPr>
      <w:r>
        <w:rPr>
          <w:bCs/>
          <w:b/>
        </w:rPr>
        <w:t xml:space="preserve">C. Return on Investment (ROI)</w:t>
      </w:r>
    </w:p>
    <w:p>
      <w:pPr>
        <w:pStyle w:val="FirstParagraph"/>
      </w:pPr>
      <w:r>
        <w:t xml:space="preserve">Based on market penetration rates in selected Nairobi suburbs, the project anticipates breaking even within 18 to 24 months. The growing middle class in Kenya is willing to pay a premium for convenience and verified authenticity of medicines, reducing the risk associated with counterfeit drugs often found in informal markets.</w:t>
      </w:r>
    </w:p>
    <w:bookmarkEnd w:id="34"/>
    <w:bookmarkEnd w:id="35"/>
    <w:bookmarkStart w:id="36" w:name="risk-management"/>
    <w:p>
      <w:pPr>
        <w:pStyle w:val="Heading2"/>
      </w:pPr>
      <w:r>
        <w:t xml:space="preserve">6. Risk Management</w:t>
      </w:r>
    </w:p>
    <w:p>
      <w:pPr>
        <w:pStyle w:val="FirstParagraph"/>
      </w:pPr>
      <w:r>
        <w:rPr>
          <w:bCs/>
          <w:b/>
        </w:rPr>
        <w:t xml:space="preserve">Currency Fluctuation:</w:t>
      </w:r>
      <w:r>
        <w:t xml:space="preserve"> </w:t>
      </w:r>
      <w:r>
        <w:t xml:space="preserve">Since many pharmaceutical inputs are imported, the volatility of the Kenyan Shilling against the US Dollar poses a financial risk. Hedging strategies and bulk purchasing during favorable exchange rate periods will be utilized.</w:t>
      </w:r>
    </w:p>
    <w:p>
      <w:pPr>
        <w:pStyle w:val="BodyText"/>
      </w:pPr>
      <w:r>
        <w:rPr>
          <w:bCs/>
          <w:b/>
        </w:rPr>
        <w:t xml:space="preserve">Theft and Security:</w:t>
      </w:r>
      <w:r>
        <w:t xml:space="preserve"> </w:t>
      </w:r>
      <w:r>
        <w:t xml:space="preserve">Operating in Nairobi requires robust security measures, including CCTV monitoring, alarm systems linked to private security firms, and safe protocols for cash handling.</w:t>
      </w:r>
    </w:p>
    <w:p>
      <w:pPr>
        <w:pStyle w:val="BodyText"/>
      </w:pPr>
      <w:r>
        <w:rPr>
          <w:bCs/>
          <w:b/>
        </w:rPr>
        <w:t xml:space="preserve">Regulatory Changes:</w:t>
      </w:r>
      <w:r>
        <w:t xml:space="preserve"> </w:t>
      </w:r>
      <w:r>
        <w:t xml:space="preserve">The Kenyan government frequently updates healthcare policies. A dedicated compliance officer will be tasked with monitoring changes from the Ministry of Health and the Pharmacy and Poisons Board.</w:t>
      </w:r>
    </w:p>
    <w:bookmarkEnd w:id="36"/>
    <w:bookmarkStart w:id="37" w:name="conclusion"/>
    <w:p>
      <w:pPr>
        <w:pStyle w:val="Heading2"/>
      </w:pPr>
      <w:r>
        <w:t xml:space="preserve">7. Conclusion</w:t>
      </w:r>
    </w:p>
    <w:p>
      <w:pPr>
        <w:pStyle w:val="FirstParagraph"/>
      </w:pPr>
      <w:r>
        <w:t xml:space="preserve">This Project Report confirms that establishing a Chemist in Kenya Nairobi is not only a commercially viable venture but also a socially impactful initiative. By addressing the critical need for reliable, authentic, and accessible healthcare products in the capital city, this project aligns with both public health goals and business profitability. The combination of strategic location selection within Nairobi's high-traffic zones, adherence to strict Kenyan regulatory standards, and modern retail practices positions this Chemist for sustained success.</w:t>
      </w:r>
    </w:p>
    <w:p>
      <w:pPr>
        <w:pStyle w:val="BodyText"/>
      </w:pPr>
      <w:r>
        <w:t xml:space="preserve">We recommend immediate approval of the preliminary budget to commence site scouting in Nairobi. The window of opportunity is open as healthcare consumerism continues to rise across Kenya. By acting now, we can secure prime locations and establish brand loyalty before competitors fully capitalize on this growing market segment.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Chemist in Kenya Nairobi</dc:title>
  <dc:creator/>
  <dc:language>en</dc:language>
  <cp:keywords/>
  <dcterms:created xsi:type="dcterms:W3CDTF">2026-07-29T03:45:51Z</dcterms:created>
  <dcterms:modified xsi:type="dcterms:W3CDTF">2026-07-29T03:45:51Z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