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Optimization</w:t>
      </w:r>
      <w:r>
        <w:t xml:space="preserve"> </w:t>
      </w:r>
      <w:r>
        <w:t xml:space="preserve">of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Guangdong Provincial Customs Commission</w:t>
      </w:r>
      <w:r>
        <w:br/>
      </w:r>
      <w:r>
        <w:rPr>
          <w:bCs/>
          <w:b/>
        </w:rPr>
        <w:t xml:space="preserve">From: Strategic Logistics Improvement Committee</w:t>
      </w:r>
      <w:r>
        <w:br/>
      </w:r>
      <w:r>
        <w:rPr>
          <w:bCs/>
          <w:b/>
          <w:bCs/>
          <w:b/>
        </w:rPr>
        <w:t xml:space="preserve">Subject: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t xml:space="preserve">&gt;&lt;/table&gt;&lt;/body&gt;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Optimization of Customs Officer Operations in China Guangzhou</dc:title>
  <dc:creator/>
  <dc:language>en</dc:language>
  <cp:keywords/>
  <dcterms:created xsi:type="dcterms:W3CDTF">2026-09-27T14:46:17Z</dcterms:created>
  <dcterms:modified xsi:type="dcterms:W3CDTF">2026-09-27T14:46:17Z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