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Project</w:t>
      </w:r>
      <w:r>
        <w:t xml:space="preserve"> </w:t>
      </w:r>
      <w:r>
        <w:t xml:space="preserve">Report:</w:t>
      </w:r>
      <w:r>
        <w:t xml:space="preserve"> </w:t>
      </w:r>
      <w:r>
        <w:t xml:space="preserve">Frankfurt</w:t>
      </w:r>
      <w:r>
        <w:t xml:space="preserve"> </w:t>
      </w:r>
      <w:r>
        <w:t xml:space="preserve">Operations</w:t>
      </w:r>
    </w:p>
    <w:bookmarkStart w:id="30" w:name="data-scientist-project-report"/>
    <w:p>
      <w:pPr>
        <w:pStyle w:val="Heading1"/>
      </w:pPr>
      <w:r>
        <w:t xml:space="preserve">Data Scientist Project Report</w:t>
      </w:r>
    </w:p>
    <w:p>
      <w:pPr>
        <w:pStyle w:val="FirstParagraph"/>
      </w:pPr>
      <w:r>
        <w:rPr>
          <w:bCs/>
          <w:b/>
        </w:rPr>
        <w:t xml:space="preserve">Date:</w:t>
      </w:r>
      <w:r>
        <w:br/>
      </w:r>
      <w:r>
        <w:rPr>
          <w:bCs/>
          <w:b/>
        </w:rPr>
        <w:t xml:space="preserve">To:</w:t>
      </w:r>
      <w:r>
        <w:t xml:space="preserve"> </w:t>
      </w:r>
      <w:r>
        <w:rPr>
          <w:bCs/>
          <w:b/>
        </w:rPr>
        <w:t xml:space="preserve">From:</w:t>
      </w:r>
    </w:p>
    <w:p>
      <w:pPr>
        <w:pStyle w:val="BodyText"/>
      </w:pPr>
      <w:r>
        <w:t xml:space="preserve">Subject: Strategic Implementation of Advanced Analytics Frameworks in Germany Frankfurt</w:t>
      </w:r>
    </w:p>
    <w:bookmarkStart w:id="20" w:name="executive-summary"/>
    <w:p>
      <w:pPr>
        <w:pStyle w:val="Heading2"/>
      </w:pPr>
      <w:r>
        <w:t xml:space="preserve">1.0 Executive Summary</w:t>
      </w:r>
    </w:p>
    <w:p>
      <w:pPr>
        <w:pStyle w:val="FirstParagraph"/>
      </w:pPr>
      <w:r>
        <w:t xml:space="preserve">This</w:t>
      </w:r>
      <w:r>
        <w:t xml:space="preserve"> </w:t>
      </w:r>
      <w:r>
        <w:rPr>
          <w:iCs/>
          <w:i/>
        </w:rPr>
        <w:t xml:space="preserve">Data Scientist Project Report</w:t>
      </w:r>
      <w:r>
        <w:br/>
      </w:r>
      <w:r>
        <w:t xml:space="preserve">The primary objective of this initiative is to leverage the rich ecosystem of</w:t>
      </w:r>
      <w:r>
        <w:t xml:space="preserve"> </w:t>
      </w:r>
      <w:r>
        <w:rPr>
          <w:bCs/>
          <w:b/>
        </w:rPr>
        <w:t xml:space="preserve">Germany Frankfurt</w:t>
      </w:r>
      <w:r>
        <w:t xml:space="preserve">, a burgeoning hub for fintech, logistics, and cloud infrastructure in Europe. By establishing a robust data science pipeline within the Frankfurt region, we aim to optimize operational efficiencies, enhance predictive capabilities for our European clients, and ensure strict compliance with GDPR standards. This document outlines the strategic rationale behind selecting</w:t>
      </w:r>
      <w:r>
        <w:t xml:space="preserve"> </w:t>
      </w:r>
      <w:r>
        <w:rPr>
          <w:bCs/>
          <w:b/>
        </w:rPr>
        <w:t xml:space="preserve">Germany Frankfurt</w:t>
      </w:r>
      <w:r>
        <w:t xml:space="preserve"> </w:t>
      </w:r>
      <w:r>
        <w:t xml:space="preserve">as our central node for data operations, details the methodological approach employed by our team of</w:t>
      </w:r>
      <w:r>
        <w:t xml:space="preserve"> </w:t>
      </w:r>
      <w:r>
        <w:rPr>
          <w:iCs/>
          <w:i/>
        </w:rPr>
        <w:t xml:space="preserve">Data Scientist</w:t>
      </w:r>
      <w:r>
        <w:t xml:space="preserve"> </w:t>
      </w:r>
      <w:r>
        <w:t xml:space="preserve">professionals and presents projected outcomes that will redefine our competitive advantage in the DACH region.</w:t>
      </w:r>
    </w:p>
    <w:bookmarkEnd w:id="20"/>
    <w:bookmarkStart w:id="21" w:name="Xe4c3f488420392a37ab068d987bfdfddc077932"/>
    <w:p>
      <w:pPr>
        <w:pStyle w:val="Heading2"/>
      </w:pPr>
      <w:r>
        <w:t xml:space="preserve">2.0 Strategic Context: The Significance of Germany Frankfurt</w:t>
      </w:r>
    </w:p>
    <w:p>
      <w:pPr>
        <w:pStyle w:val="FirstParagraph"/>
      </w:pPr>
      <w:r>
        <w:t xml:space="preserve">The selection of</w:t>
      </w:r>
      <w:r>
        <w:t xml:space="preserve"> </w:t>
      </w:r>
      <w:r>
        <w:rPr>
          <w:bCs/>
          <w:b/>
        </w:rPr>
        <w:t xml:space="preserve">Germany Frankfurt</w:t>
      </w:r>
      <w:r>
        <w:br/>
      </w:r>
      <w:r>
        <w:t xml:space="preserve">Furthermore,</w:t>
      </w:r>
      <w:r>
        <w:t xml:space="preserve"> </w:t>
      </w:r>
      <w:r>
        <w:rPr>
          <w:bCs/>
          <w:b/>
        </w:rPr>
        <w:t xml:space="preserve">Germany Frankfurt</w:t>
      </w:r>
      <w:r>
        <w:br/>
      </w:r>
      <w:r>
        <w:t xml:space="preserve">This strategic alignment ensures that our data initiatives are not only technologically superior but also culturally and legally integrated into the heart of European commerce. The proximity to key banking institutions, insurance firms, and logistics giants in</w:t>
      </w:r>
      <w:r>
        <w:t xml:space="preserve"> </w:t>
      </w:r>
      <w:r>
        <w:rPr>
          <w:bCs/>
          <w:b/>
        </w:rPr>
        <w:t xml:space="preserve">Germany Frankfurt</w:t>
      </w:r>
      <w:r>
        <w:t xml:space="preserve"> </w:t>
      </w:r>
      <w:r>
        <w:t xml:space="preserve">provides unparalleled access to domain expertise and potential pilot partners for our machine learning models.</w:t>
      </w:r>
    </w:p>
    <w:bookmarkEnd w:id="21"/>
    <w:bookmarkStart w:id="23" w:name="X2c99a714ab2b8b4205e928d4827de211059ffca"/>
    <w:p>
      <w:pPr>
        <w:pStyle w:val="Heading2"/>
      </w:pPr>
      <w:r>
        <w:t xml:space="preserve">3.0 Methodology: The Data Scientist Role Definition</w:t>
      </w:r>
    </w:p>
    <w:p>
      <w:pPr>
        <w:pStyle w:val="FirstParagraph"/>
      </w:pPr>
      <w:r>
        <w:t xml:space="preserve">To capitalize on the opportunities presented by the location, we have redefined the scope of the</w:t>
      </w:r>
      <w:r>
        <w:t xml:space="preserve"> </w:t>
      </w:r>
      <w:r>
        <w:rPr>
          <w:iCs/>
          <w:i/>
        </w:rPr>
        <w:t xml:space="preserve">Data Scientist</w:t>
      </w:r>
      <w:r>
        <w:br/>
      </w:r>
      <w:r>
        <w:t xml:space="preserve">The core responsibilities within this</w:t>
      </w:r>
      <w:r>
        <w:t xml:space="preserve"> </w:t>
      </w:r>
      <w:r>
        <w:rPr>
          <w:bCs/>
          <w:b/>
        </w:rPr>
        <w:t xml:space="preserve">Data Scientist Project Report</w:t>
      </w:r>
      <w:r>
        <w:br/>
      </w:r>
      <w:r>
        <w:t xml:space="preserve">1.</w:t>
      </w:r>
      <w:r>
        <w:rPr>
          <w:iCs/>
          <w:i/>
        </w:rPr>
        <w:t xml:space="preserve">Data Scientist</w:t>
      </w:r>
      <w:r>
        <w:br/>
      </w:r>
      <w:r>
        <w:t xml:space="preserve">2. **Feature Engineering for Local Context: Our</w:t>
      </w:r>
    </w:p>
    <w:p>
      <w:pPr>
        <w:pStyle w:val="BodyText"/>
      </w:pPr>
      <w:r>
        <w:t xml:space="preserve">Data Scientist</w:t>
      </w:r>
    </w:p>
    <w:p>
      <w:pPr>
        <w:pStyle w:val="BodyText"/>
      </w:pPr>
      <w:r>
        <w:t xml:space="preserve">Germany Frankfurt.</w:t>
      </w:r>
    </w:p>
    <w:bookmarkStart w:id="22" w:name="technical-stack-and-infrastructure"/>
    <w:p>
      <w:pPr>
        <w:pStyle w:val="Heading3"/>
      </w:pPr>
      <w:r>
        <w:t xml:space="preserve">3.1 Technical Stack and Infrastructure</w:t>
      </w:r>
    </w:p>
    <w:p>
      <w:pPr>
        <w:pStyle w:val="FirstParagraph"/>
      </w:pPr>
      <w:r>
        <w:t xml:space="preserve">Leveraging the cloud-native infrastructure available in</w:t>
      </w:r>
      <w:r>
        <w:t xml:space="preserve"> </w:t>
      </w:r>
      <w:r>
        <w:rPr>
          <w:bCs/>
          <w:b/>
        </w:rPr>
        <w:t xml:space="preserve">Germany Frankfurt</w:t>
      </w:r>
      <w:r>
        <w:t xml:space="preserve">, we have deployed our analytics environment on local availability zones to minimize latency and ensure data residency compliance. The</w:t>
      </w:r>
      <w:r>
        <w:t xml:space="preserve"> </w:t>
      </w:r>
      <w:r>
        <w:rPr>
          <w:iCs/>
          <w:i/>
        </w:rPr>
        <w:t xml:space="preserve">Data Scientist</w:t>
      </w:r>
      <w:r>
        <w:br/>
      </w:r>
      <w:r>
        <w:t xml:space="preserve">- **Compute Resources:** Utilization of high-performance GPU clusters hosted in Frankfurt for training deep learning models.</w:t>
      </w:r>
      <w:r>
        <w:t xml:space="preserve"> </w:t>
      </w:r>
      <w:r>
        <w:t xml:space="preserve">- **Storage: Secure, encrypted object storage compliant with German data protection laws.</w:t>
      </w:r>
      <w:r>
        <w:br/>
      </w:r>
      <w:r>
        <w:t xml:space="preserve">- **Collaboration Tools: Integrated JupyterHub environments accessible only from corporate networks within</w:t>
      </w:r>
      <w:r>
        <w:t xml:space="preserve"> </w:t>
      </w:r>
      <w:r>
        <w:rPr>
          <w:bCs/>
          <w:b/>
        </w:rPr>
        <w:t xml:space="preserve">Germany Frankfurt</w:t>
      </w:r>
      <w:r>
        <w:t xml:space="preserve">.</w:t>
      </w:r>
    </w:p>
    <w:bookmarkEnd w:id="22"/>
    <w:bookmarkEnd w:id="23"/>
    <w:bookmarkStart w:id="25" w:name="section"/>
    <w:p>
      <w:pPr>
        <w:pStyle w:val="Heading2"/>
      </w:pPr>
    </w:p>
    <w:bookmarkStart w:id="24" w:name="section-1"/>
    <w:p>
      <w:pPr>
        <w:pStyle w:val="Heading4"/>
      </w:pPr>
    </w:p>
    <w:bookmarkEnd w:id="24"/>
    <w:bookmarkEnd w:id="25"/>
    <w:bookmarkStart w:id="26" w:name="section-2"/>
    <w:p>
      <w:pPr>
        <w:pStyle w:val="Heading2"/>
      </w:pPr>
    </w:p>
    <w:p>
      <w:pPr>
        <w:pStyle w:val="FirstParagraph"/>
      </w:pPr>
      <w:r>
        <w:t xml:space="preserve">3.1 Data Governance and EthicsIn the context of a</w:t>
      </w:r>
    </w:p>
    <w:p>
      <w:pPr>
        <w:pStyle w:val="BodyText"/>
      </w:pPr>
      <w:r>
        <w:t xml:space="preserve">Data Scientist Project Report</w:t>
      </w:r>
      <w:r>
        <w:t xml:space="preserve">Germany Frankfurt,</w:t>
      </w:r>
      <w:r>
        <w:t xml:space="preserve">The role of the</w:t>
      </w:r>
    </w:p>
    <w:p>
      <w:pPr>
        <w:pStyle w:val="BodyText"/>
      </w:pPr>
      <w:r>
        <w:t xml:space="preserve">Data Scientist includes rigorous adherence to ethical AI principles. We prioritize transparency, fairness, and accountability in all algorithms developed. Given the regulatory landscape in Germany, our</w:t>
      </w:r>
      <w:r>
        <w:t xml:space="preserve"> </w:t>
      </w:r>
      <w:r>
        <w:rPr>
          <w:bCs/>
          <w:b/>
        </w:rPr>
        <w:t xml:space="preserve">Data Scientist Project Report</w:t>
      </w:r>
      <w:r>
        <w:br/>
      </w:r>
      <w:r>
        <w:t xml:space="preserve">- **Bias Mitigation: Regular audits of training data for demographic biases.</w:t>
      </w:r>
      <w:r>
        <w:br/>
      </w:r>
      <w:r>
        <w:t xml:space="preserve">- **Explainability:Deployment of SHAP (SHapley Additive exPlanations) and LIME frameworks to ensure model decisions are interpretable by local stakeholders.</w:t>
      </w:r>
    </w:p>
    <w:bookmarkEnd w:id="26"/>
    <w:bookmarkStart w:id="27" w:name="X0fcb0a800c05d6736296111b0f6e92ea6f290d4"/>
    <w:p>
      <w:pPr>
        <w:pStyle w:val="Heading2"/>
      </w:pPr>
      <w:r>
        <w:t xml:space="preserve">4.0 Key Performance Indicators and Success Metrics</w:t>
      </w:r>
    </w:p>
    <w:p>
      <w:pPr>
        <w:pStyle w:val="FirstParagraph"/>
      </w:pPr>
      <w:r>
        <w:br/>
      </w:r>
      <w:r>
        <w:t xml:space="preserve">To measure the efficacy of this initiative, we have established several KPIs specific to the</w:t>
      </w:r>
    </w:p>
    <w:p>
      <w:pPr>
        <w:pStyle w:val="BodyText"/>
      </w:pPr>
      <w:r>
        <w:t xml:space="preserve">Data Scientist Project Report framework:</w:t>
      </w:r>
    </w:p>
    <w:p>
      <w:pPr>
        <w:numPr>
          <w:ilvl w:val="0"/>
          <w:numId w:val="1001"/>
        </w:numPr>
        <w:pStyle w:val="Compact"/>
      </w:pPr>
      <w:r>
        <w:t xml:space="preserve">**Model Accuracy Improvement: A target increase of 15% in predictive accuracy for customer churn models within six months.</w:t>
      </w:r>
    </w:p>
    <w:p>
      <w:pPr>
        <w:numPr>
          <w:ilvl w:val="0"/>
          <w:numId w:val="1001"/>
        </w:numPr>
        <w:pStyle w:val="Compact"/>
      </w:pPr>
      <w:r>
        <w:t xml:space="preserve">**Operational Efficiency:**</w:t>
      </w:r>
      <w:r>
        <w:br/>
      </w:r>
      <w:r>
        <w:t xml:space="preserve">A reduction in processing time for large-scale data jobs by 30% through optimized algorithms leveraging local cloud infrastructure.</w:t>
      </w:r>
      <w:r>
        <w:br/>
      </w:r>
    </w:p>
    <w:p>
      <w:pPr>
        <w:numPr>
          <w:ilvl w:val="0"/>
          <w:numId w:val="1000"/>
        </w:numPr>
        <w:pStyle w:val="Compact"/>
      </w:pPr>
      <w:r>
        <w:t xml:space="preserve">Data Scientist Productivity:: Measurement of the number of deployed models per quarter, targeting a 20% increase due to improved collaboration and tooling.</w:t>
      </w:r>
    </w:p>
    <w:p>
      <w:pPr>
        <w:numPr>
          <w:ilvl w:val="0"/>
          <w:numId w:val="1001"/>
        </w:numPr>
        <w:pStyle w:val="Compact"/>
      </w:pPr>
      <w:r>
        <w:t xml:space="preserve">**Local Adoption Rate:: Percentage adoption of data-driven insights by key clients in</w:t>
      </w:r>
      <w:r>
        <w:t xml:space="preserve"> </w:t>
      </w:r>
      <w:r>
        <w:rPr>
          <w:bCs/>
          <w:b/>
        </w:rPr>
        <w:t xml:space="preserve">Germany Frankfurt</w:t>
      </w:r>
      <w:r>
        <w:t xml:space="preserve">.</w:t>
      </w:r>
    </w:p>
    <w:p>
      <w:pPr>
        <w:pStyle w:val="FirstParagraph"/>
      </w:pPr>
      <w:r>
        <w:br/>
      </w:r>
      <w:r>
        <w:t xml:space="preserve">These metrics ensure that our work as</w:t>
      </w:r>
      <w:r>
        <w:t xml:space="preserve"> </w:t>
      </w:r>
      <w:r>
        <w:rPr>
          <w:iCs/>
          <w:i/>
        </w:rPr>
        <w:t xml:space="preserve">Data Scientist</w:t>
      </w:r>
      <w:r>
        <w:t xml:space="preserve"> </w:t>
      </w:r>
      <w:r>
        <w:t xml:space="preserve">professionals is not only technically sound but also delivers tangible business value within the region.</w:t>
      </w:r>
    </w:p>
    <w:bookmarkEnd w:id="27"/>
    <w:bookmarkStart w:id="29" w:name="section-3"/>
    <w:p>
      <w:pPr>
        <w:pStyle w:val="Heading2"/>
      </w:pPr>
    </w:p>
    <w:bookmarkStart w:id="28" w:name="section-4"/>
    <w:p>
      <w:pPr>
        <w:pStyle w:val="Heading4"/>
      </w:pPr>
    </w:p>
    <w:p>
      <w:pPr>
        <w:pStyle w:val="FirstParagraph"/>
      </w:pPr>
      <w:r>
        <w:t xml:space="preserve">The integration of advanced analytics into our operations in</w:t>
      </w:r>
    </w:p>
    <w:p>
      <w:pPr>
        <w:pStyle w:val="BodyText"/>
      </w:pPr>
      <w:r>
        <w:t xml:space="preserve">Germany Frankfurt</w:t>
      </w:r>
    </w:p>
    <w:p>
      <w:pPr>
        <w:pStyle w:val="BodyText"/>
      </w:pPr>
      <w:r>
        <w:t xml:space="preserve">Data Scientist Project Report</w:t>
      </w:r>
    </w:p>
    <w:p>
      <w:pPr>
        <w:pStyle w:val="BodyText"/>
      </w:pPr>
      <w:r>
        <w:t xml:space="preserve">.This document serves as a blueprint for scaling data science capabilities across Europe, starting with the strategic hub of</w:t>
      </w:r>
      <w:r>
        <w:t xml:space="preserve"> </w:t>
      </w:r>
      <w:r>
        <w:rPr>
          <w:bCs/>
          <w:b/>
        </w:rPr>
        <w:t xml:space="preserve">Germany Frankfurt</w:t>
      </w:r>
      <w:r>
        <w:t xml:space="preserve">. By empowering our</w:t>
      </w:r>
      <w:r>
        <w:t xml:space="preserve"> </w:t>
      </w:r>
      <w:r>
        <w:rPr>
          <w:iCs/>
          <w:i/>
        </w:rPr>
        <w:t xml:space="preserve">Data Scientist</w:t>
      </w:r>
      <w:r>
        <w:br/>
      </w:r>
      <w:r>
        <w:br/>
      </w:r>
      <w:r>
        <w:t xml:space="preserve">We recommend immediate approval to proceed with Phase 2 of this initiative, which includes expanding the team and initiating pilot projects with local enterprise partners. The potential for innovation in</w:t>
      </w:r>
      <w:r>
        <w:t xml:space="preserve"> </w:t>
      </w:r>
      <w:r>
        <w:rPr>
          <w:bCs/>
          <w:b/>
        </w:rPr>
        <w:t xml:space="preserve">Germany Frankfurt</w:t>
      </w:r>
      <w:r>
        <w:br/>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Project Report: Frankfurt Operations</dc:title>
  <dc:creator/>
  <dc:language>en</dc:language>
  <cp:keywords/>
  <dcterms:created xsi:type="dcterms:W3CDTF">2026-07-29T09:26:20Z</dcterms:created>
  <dcterms:modified xsi:type="dcterms:W3CDTF">2026-07-29T09:26:20Z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