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Dental</w:t>
      </w:r>
      <w:r>
        <w:t xml:space="preserve"> </w:t>
      </w:r>
      <w:r>
        <w:t xml:space="preserve">Practice</w:t>
      </w:r>
      <w:r>
        <w:t xml:space="preserve"> </w:t>
      </w:r>
      <w:r>
        <w:t xml:space="preserve">in</w:t>
      </w:r>
      <w:r>
        <w:t xml:space="preserve"> </w:t>
      </w:r>
      <w:r>
        <w:t xml:space="preserve">Kuala</w:t>
      </w:r>
      <w:r>
        <w:t xml:space="preserve"> </w:t>
      </w:r>
      <w:r>
        <w:t xml:space="preserve">Lumpur</w:t>
      </w:r>
    </w:p>
    <w:bookmarkStart w:id="31" w:name="X83e04e79b72b5b6865bc8a68dd71f5e46490d03"/>
    <w:p>
      <w:pPr>
        <w:pStyle w:val="Heading1"/>
      </w:pPr>
      <w:r>
        <w:t xml:space="preserve">Project Report: Strategic Establishment of a High-End Dental Clinic in Kuala Lumpur, Malaysia</w:t>
      </w:r>
    </w:p>
    <w:bookmarkStart w:id="20" w:name="executive-summary"/>
    <w:p>
      <w:pPr>
        <w:pStyle w:val="Heading3"/>
      </w:pPr>
      <w:r>
        <w:t xml:space="preserve">Executive Summary</w:t>
      </w:r>
    </w:p>
    <w:p>
      <w:pPr>
        <w:pStyle w:val="FirstParagraph"/>
      </w:pPr>
      <w:r>
        <w:t xml:space="preserve">This project report outlines the strategic framework for establishing a state-of-the-art dental practice in the bustling metropolis of Kuala Lumpur, Malaysia. As the capital city serves as the economic and cultural hub of Malaysia, it presents a unique convergence of local demand and international medical tourism opportunities. This document details the market analysis, operational logistics, regulatory compliance with Malaysian health standards, and financial projections required to launch a successful Dentist enterprise within this dynamic region.</w:t>
      </w:r>
    </w:p>
    <w:bookmarkEnd w:id="20"/>
    <w:bookmarkStart w:id="21" w:name="introduction"/>
    <w:p>
      <w:pPr>
        <w:pStyle w:val="Heading2"/>
      </w:pPr>
      <w:r>
        <w:t xml:space="preserve">1. Introduction</w:t>
      </w:r>
    </w:p>
    <w:p>
      <w:pPr>
        <w:pStyle w:val="FirstParagraph"/>
      </w:pPr>
      <w:r>
        <w:t xml:space="preserve">The healthcare sector in Malaysia has experienced robust growth over the past decade, driven by rising disposable incomes, increased health awareness, and the government’s push to position the country as a global center for medical tourism. Within this context, oral health is gaining prominence not merely as a necessity but as a component of overall wellness and aesthetic confidence. This report focuses on the establishment of "KL Premium Dental," a new Dentist facility located in the heart of Kuala Lumpur.</w:t>
      </w:r>
    </w:p>
    <w:p>
      <w:pPr>
        <w:pStyle w:val="BodyText"/>
      </w:pPr>
      <w:r>
        <w:t xml:space="preserve">The primary objective of this project is to create a patient-centric dental clinic that combines advanced technological infrastructure with compassionate care. By leveraging Malaysia’s status as a medical hub, we aim to serve both the local population of Kuala Lumpur and international patients seeking high-quality, cost-effective dental treatments compared to Western markets.</w:t>
      </w:r>
    </w:p>
    <w:bookmarkEnd w:id="21"/>
    <w:bookmarkStart w:id="22" w:name="market-analysis"/>
    <w:p>
      <w:pPr>
        <w:pStyle w:val="Heading2"/>
      </w:pPr>
      <w:r>
        <w:t xml:space="preserve">2. Market Analysis</w:t>
      </w:r>
    </w:p>
    <w:p>
      <w:pPr>
        <w:pStyle w:val="FirstParagraph"/>
      </w:pPr>
      <w:r>
        <w:rPr>
          <w:bCs/>
          <w:b/>
        </w:rPr>
        <w:t xml:space="preserve">A. Local Market Dynamics in Kuala Lumpur</w:t>
      </w:r>
      <w:r>
        <w:br/>
      </w:r>
      <w:r>
        <w:t xml:space="preserve">Kuala Lumpur is a multicultural city with a diverse population comprising Malays, Chinese, Indians, and expatriates. The local market for dental services is competitive but fragmented. While there are numerous government clinics providing subsidized care, the private sector dominates premium services such as orthodontics, dental implants, and cosmetic dentistry. There is a growing middle class in Kuala Lumpur that prioritizes preventive care and aesthetic treatments.</w:t>
      </w:r>
    </w:p>
    <w:p>
      <w:pPr>
        <w:pStyle w:val="BodyText"/>
      </w:pPr>
      <w:r>
        <w:rPr>
          <w:bCs/>
          <w:b/>
        </w:rPr>
        <w:t xml:space="preserve">B. Medical Tourism Potential</w:t>
      </w:r>
      <w:r>
        <w:br/>
      </w:r>
      <w:r>
        <w:t xml:space="preserve">Malaysia is consistently ranked among the top medical tourism destinations globally due to its JCI-accredited hospitals, competitive pricing, and English-speaking workforce. Kuala Lumpur attracts a significant influx of patients from Indonesia, Singapore, China, and the Middle East. Our strategy involves targeting this cross-border demographic by offering comprehensive packages that include treatment planning in Malaysia combined with hospitality services.</w:t>
      </w:r>
    </w:p>
    <w:bookmarkEnd w:id="22"/>
    <w:bookmarkStart w:id="24" w:name="location-and-facility-requirements"/>
    <w:p>
      <w:pPr>
        <w:pStyle w:val="Heading2"/>
      </w:pPr>
      <w:r>
        <w:t xml:space="preserve">3. Location and Facility Requirements</w:t>
      </w:r>
    </w:p>
    <w:p>
      <w:pPr>
        <w:pStyle w:val="FirstParagraph"/>
      </w:pPr>
      <w:r>
        <w:t xml:space="preserve">The selected location for the Dentist practice is within the Golden Triangle of Kuala Lumpur, specifically near Bangsar South or KLCC (Kuala Lumpur City Centre). These areas offer high visibility, easy accessibility via public transport (such as the MRT and LRT), and proximity to corporate offices where expatriates often reside.</w:t>
      </w:r>
    </w:p>
    <w:bookmarkStart w:id="23" w:name="facility-specifications"/>
    <w:p>
      <w:pPr>
        <w:pStyle w:val="Heading3"/>
      </w:pPr>
      <w:r>
        <w:t xml:space="preserve">Facility Specifications:</w:t>
      </w:r>
    </w:p>
    <w:p>
      <w:pPr>
        <w:numPr>
          <w:ilvl w:val="0"/>
          <w:numId w:val="1001"/>
        </w:numPr>
        <w:pStyle w:val="Compact"/>
      </w:pPr>
      <w:r>
        <w:rPr>
          <w:bCs/>
          <w:b/>
        </w:rPr>
        <w:t xml:space="preserve">Patient Capacity:</w:t>
      </w:r>
      <w:r>
        <w:t xml:space="preserve"> </w:t>
      </w:r>
      <w:r>
        <w:t xml:space="preserve">The clinic will be designed to accommodate six dental chairs simultaneously, allowing for efficient throughput while maintaining personalized attention.</w:t>
      </w:r>
    </w:p>
    <w:p>
      <w:pPr>
        <w:numPr>
          <w:ilvl w:val="0"/>
          <w:numId w:val="1001"/>
        </w:numPr>
        <w:pStyle w:val="Compact"/>
      </w:pPr>
      <w:r>
        <w:rPr>
          <w:bCs/>
          <w:b/>
        </w:rPr>
        <w:t xml:space="preserve">Infection Control:</w:t>
      </w:r>
    </w:p>
    <w:p>
      <w:pPr>
        <w:numPr>
          <w:ilvl w:val="0"/>
          <w:numId w:val="1001"/>
        </w:numPr>
        <w:pStyle w:val="Compact"/>
      </w:pPr>
      <w:r>
        <w:rPr>
          <w:bCs/>
          <w:b/>
        </w:rPr>
        <w:t xml:space="preserve">Tech Integration:</w:t>
      </w:r>
      <w:r>
        <w:t xml:space="preserve"> </w:t>
      </w:r>
      <w:r>
        <w:t xml:space="preserve">The facility will feature fully digital workflows, including 3D CBCT imaging, intraoral scanners for crowns and aligners, and electronic health records (EHR) to ensure seamless data management.</w:t>
      </w:r>
    </w:p>
    <w:bookmarkEnd w:id="23"/>
    <w:bookmarkEnd w:id="24"/>
    <w:bookmarkStart w:id="25" w:name="regulatory-compliance-and-licensing"/>
    <w:p>
      <w:pPr>
        <w:pStyle w:val="Heading2"/>
      </w:pPr>
      <w:r>
        <w:t xml:space="preserve">4. Regulatory Compliance and Licensing</w:t>
      </w:r>
    </w:p>
    <w:p>
      <w:pPr>
        <w:pStyle w:val="FirstParagraph"/>
      </w:pPr>
      <w:r>
        <w:t xml:space="preserve">To operate legally in Malaysia, the Dentist project must navigate several regulatory frameworks. The primary governing body is the Malaysian Dental Council (MDC), which regulates the practice of dentistry.</w:t>
      </w:r>
    </w:p>
    <w:p>
      <w:pPr>
        <w:numPr>
          <w:ilvl w:val="0"/>
          <w:numId w:val="1002"/>
        </w:numPr>
        <w:pStyle w:val="Compact"/>
      </w:pPr>
      <w:r>
        <w:rPr>
          <w:bCs/>
          <w:b/>
        </w:rPr>
        <w:t xml:space="preserve">MDC Registration:</w:t>
      </w:r>
      <w:r>
        <w:t xml:space="preserve"> </w:t>
      </w:r>
      <w:r>
        <w:t xml:space="preserve">All practicing dentists and dental therapists employed at the facility must hold valid practicing certificates issued by the MDC.</w:t>
      </w:r>
    </w:p>
    <w:p>
      <w:pPr>
        <w:numPr>
          <w:ilvl w:val="0"/>
          <w:numId w:val="1002"/>
        </w:numPr>
        <w:pStyle w:val="Compact"/>
      </w:pPr>
      <w:r>
        <w:rPr>
          <w:bCs/>
          <w:b/>
        </w:rPr>
        <w:t xml:space="preserve">Hospital and Infectious Disease Clinics Act:</w:t>
      </w:r>
      <w:r>
        <w:t xml:space="preserve"> </w:t>
      </w:r>
      <w:r>
        <w:t xml:space="preserve">The clinic must obtain approval from the local city council (Dewan Bandaraya Kuala Lumpur - DBKL) regarding signage, building modifications, and waste disposal.</w:t>
      </w:r>
    </w:p>
    <w:p>
      <w:pPr>
        <w:numPr>
          <w:ilvl w:val="0"/>
          <w:numId w:val="1002"/>
        </w:numPr>
        <w:pStyle w:val="Compact"/>
      </w:pPr>
      <w:r>
        <w:rPr>
          <w:bCs/>
          <w:b/>
        </w:rPr>
        <w:t xml:space="preserve">Licensing for Radiography:</w:t>
      </w:r>
      <w:r>
        <w:t xml:space="preserve"> </w:t>
      </w:r>
      <w:r>
        <w:t xml:space="preserve">Since dental X-rays are integral to our practice, we must secure a license under the Atomic Licensing Act 1984 from the Malaysian Nuclear Agency (ANM).</w:t>
      </w:r>
    </w:p>
    <w:p>
      <w:pPr>
        <w:numPr>
          <w:ilvl w:val="0"/>
          <w:numId w:val="1002"/>
        </w:numPr>
        <w:pStyle w:val="Compact"/>
      </w:pPr>
      <w:r>
        <w:rPr>
          <w:bCs/>
          <w:b/>
        </w:rPr>
        <w:t xml:space="preserve">Data Protection:</w:t>
      </w:r>
      <w:r>
        <w:t xml:space="preserve"> </w:t>
      </w:r>
      <w:r>
        <w:t xml:space="preserve">Compliance with the Personal Data Protection Act (PDPA) of Malaysia is mandatory for handling patient records securely.</w:t>
      </w:r>
    </w:p>
    <w:bookmarkEnd w:id="25"/>
    <w:bookmarkStart w:id="27" w:name="operational-strategy"/>
    <w:p>
      <w:pPr>
        <w:pStyle w:val="Heading2"/>
      </w:pPr>
      <w:r>
        <w:t xml:space="preserve">5. Operational Strategy</w:t>
      </w:r>
    </w:p>
    <w:p>
      <w:pPr>
        <w:pStyle w:val="FirstParagraph"/>
      </w:pPr>
      <w:r>
        <w:t xml:space="preserve">The operational model of KL Premium Dental will focus on efficiency, hygiene, and customer experience. Given the tropical climate and traffic congestion in Kuala Lumpur, appointment scheduling will be optimized to minimize patient wait times.</w:t>
      </w:r>
    </w:p>
    <w:bookmarkStart w:id="26" w:name="staffing-structure"/>
    <w:p>
      <w:pPr>
        <w:pStyle w:val="Heading3"/>
      </w:pPr>
      <w:r>
        <w:t xml:space="preserve">Staffing Structure:</w:t>
      </w:r>
    </w:p>
    <w:p>
      <w:pPr>
        <w:numPr>
          <w:ilvl w:val="0"/>
          <w:numId w:val="1003"/>
        </w:numPr>
        <w:pStyle w:val="Compact"/>
      </w:pPr>
      <w:r>
        <w:rPr>
          <w:bCs/>
          <w:b/>
        </w:rPr>
        <w:t xml:space="preserve">Clinical Team:</w:t>
      </w:r>
      <w:r>
        <w:t xml:space="preserve"> </w:t>
      </w:r>
      <w:r>
        <w:t xml:space="preserve">A mix of senior specialists (Orthodontists, Endodontists) and general dentists. Hiring local talent from reputable Malaysian universities ensures a steady supply of skilled professionals.</w:t>
      </w:r>
    </w:p>
    <w:p>
      <w:pPr>
        <w:numPr>
          <w:ilvl w:val="0"/>
          <w:numId w:val="1003"/>
        </w:numPr>
        <w:pStyle w:val="Compact"/>
      </w:pPr>
      <w:r>
        <w:rPr>
          <w:bCs/>
          <w:b/>
        </w:rPr>
        <w:t xml:space="preserve">Multilingual Support:</w:t>
      </w:r>
      <w:r>
        <w:t xml:space="preserve"> </w:t>
      </w:r>
      <w:r>
        <w:t xml:space="preserve">To cater to the diverse demographic of Kuala Lumpur and international tourists, front-desk staff will be fluent in Malay, English, Mandarin, and Bahasa Indonesia.</w:t>
      </w:r>
    </w:p>
    <w:p>
      <w:pPr>
        <w:numPr>
          <w:ilvl w:val="0"/>
          <w:numId w:val="1003"/>
        </w:numPr>
        <w:pStyle w:val="Compact"/>
      </w:pPr>
      <w:r>
        <w:rPr>
          <w:bCs/>
          <w:b/>
        </w:rPr>
        <w:t xml:space="preserve">Patient Liaison Officers:</w:t>
      </w:r>
      <w:r>
        <w:t xml:space="preserve"> </w:t>
      </w:r>
      <w:r>
        <w:t xml:space="preserve">Dedicated staff members will handle medical tourism inquiries, visa assistance coordination for international patients traveling from neighboring countries like Singapore or Indonesia.</w:t>
      </w:r>
    </w:p>
    <w:bookmarkEnd w:id="26"/>
    <w:bookmarkEnd w:id="27"/>
    <w:bookmarkStart w:id="28" w:name="marketing-and-brand-positioning"/>
    <w:p>
      <w:pPr>
        <w:pStyle w:val="Heading2"/>
      </w:pPr>
      <w:r>
        <w:t xml:space="preserve">6. Marketing and Brand Positioning</w:t>
      </w:r>
    </w:p>
    <w:p>
      <w:pPr>
        <w:pStyle w:val="FirstParagraph"/>
      </w:pPr>
      <w:r>
        <w:t xml:space="preserve">In the competitive landscape of Kuala Lumpur, differentiation is key. Our marketing strategy will rely on three pillars:</w:t>
      </w:r>
    </w:p>
    <w:p>
      <w:pPr>
        <w:numPr>
          <w:ilvl w:val="0"/>
          <w:numId w:val="1004"/>
        </w:numPr>
        <w:pStyle w:val="Compact"/>
      </w:pPr>
      <w:r>
        <w:rPr>
          <w:bCs/>
          <w:b/>
        </w:rPr>
        <w:t xml:space="preserve">Digital Presence:</w:t>
      </w:r>
      <w:r>
        <w:t xml:space="preserve">A robust SEO strategy targeting keywords such as "best dentist in KL," "dental implants Malaysia," and "invisalign Kuala Lumpur." Social media campaigns showcasing before-and-after results (with consent) will drive engagement.</w:t>
      </w:r>
    </w:p>
    <w:p>
      <w:pPr>
        <w:numPr>
          <w:ilvl w:val="0"/>
          <w:numId w:val="1004"/>
        </w:numPr>
        <w:pStyle w:val="Compact"/>
      </w:pPr>
      <w:r>
        <w:rPr>
          <w:bCs/>
          <w:b/>
        </w:rPr>
        <w:t xml:space="preserve">Corporate Partnerships:</w:t>
      </w:r>
      <w:r>
        <w:t xml:space="preserve">Collaborating with multinational corporations based in the KLCC area to provide employee health benefits, thereby securing a steady stream of local corporate clients.</w:t>
      </w:r>
    </w:p>
    <w:p>
      <w:pPr>
        <w:numPr>
          <w:ilvl w:val="0"/>
          <w:numId w:val="1004"/>
        </w:numPr>
        <w:pStyle w:val="Compact"/>
      </w:pPr>
      <w:r>
        <w:rPr>
          <w:bCs/>
          <w:b/>
        </w:rPr>
        <w:t xml:space="preserve">Tourism Packages:</w:t>
      </w:r>
    </w:p>
    <w:p>
      <w:pPr>
        <w:numPr>
          <w:ilvl w:val="0"/>
          <w:numId w:val="1000"/>
        </w:numPr>
        <w:pStyle w:val="Compact"/>
      </w:pPr>
      <w:r>
        <w:t xml:space="preserve">Packages that bundle dental procedures with staycations at partner hotels. This appeals to medical tourists from Singapore and Indonesia who often combine treatment with leisure activities in Malaysia’s vibrant capital.</w:t>
      </w:r>
    </w:p>
    <w:bookmarkEnd w:id="28"/>
    <w:bookmarkStart w:id="29" w:name="X21ac6d95a14485c2c609f33b6be95776b8bc623"/>
    <w:p>
      <w:pPr>
        <w:pStyle w:val="Heading2"/>
      </w:pPr>
      <w:r>
        <w:t xml:space="preserve">7. Financial Projections and Risk Management</w:t>
      </w:r>
    </w:p>
    <w:p>
      <w:pPr>
        <w:pStyle w:val="FirstParagraph"/>
      </w:pPr>
      <w:r>
        <w:rPr>
          <w:bCs/>
          <w:b/>
        </w:rPr>
        <w:t xml:space="preserve">CAPITAL EXPENDITURE (CAPEX)</w:t>
      </w:r>
    </w:p>
    <w:p>
      <w:pPr>
        <w:pStyle w:val="BodyText"/>
      </w:pPr>
      <w:r>
        <w:t xml:space="preserve">Description</w:t>
      </w:r>
    </w:p>
    <w:p>
      <w:pPr>
        <w:pStyle w:val="BodyText"/>
      </w:pPr>
      <w:r>
        <w:t xml:space="preserve">Estimated Cost (MYR)</w:t>
      </w:r>
    </w:p>
    <w:p>
      <w:pPr>
        <w:pStyle w:val="BodyText"/>
      </w:pPr>
      <w:r>
        <w:t xml:space="preserve">Tenant Improvement &amp; Fit-out</w:t>
      </w:r>
    </w:p>
    <w:p>
      <w:pPr>
        <w:pStyle w:val="BodyText"/>
      </w:pPr>
      <w:r>
        <w:t xml:space="preserve">Renovation, plumbing, electrical for dental units.</w:t>
      </w:r>
    </w:p>
    <w:p>
      <w:pPr>
        <w:pStyle w:val="BodyText"/>
      </w:pPr>
      <w:r>
        <w:t xml:space="preserve">450,000</w:t>
      </w:r>
    </w:p>
    <w:p>
      <w:pPr>
        <w:pStyle w:val="BodyText"/>
      </w:pPr>
      <w:r>
        <w:t xml:space="preserve">Dental Equipment &amp; Technology</w:t>
      </w:r>
    </w:p>
    <w:p>
      <w:pPr>
        <w:pStyle w:val="BodyText"/>
      </w:pPr>
      <w:r>
        <w:t xml:space="preserve">CBCT Scanner, Chairs, X-ray Machines.</w:t>
      </w:r>
    </w:p>
    <w:p>
      <w:pPr>
        <w:pStyle w:val="BodyText"/>
      </w:pPr>
      <w:r>
        <w:t xml:space="preserve">650,</w:t>
      </w:r>
    </w:p>
    <w:p>
      <w:pPr>
        <w:pStyle w:val="BodyText"/>
      </w:pPr>
      <w:r>
        <w:t xml:space="preserve">Total CAPEX</w:t>
      </w:r>
    </w:p>
    <w:p>
      <w:pPr>
        <w:pStyle w:val="BodyText"/>
      </w:pPr>
      <w:r>
        <w:t xml:space="preserve">1,100,</w:t>
      </w:r>
    </w:p>
    <w:p>
      <w:pPr>
        <w:pStyle w:val="BodyText"/>
      </w:pPr>
      <w:r>
        <w:t xml:space="preserve">RISK MANAGEMENT</w:t>
      </w:r>
    </w:p>
    <w:p>
      <w:pPr>
        <w:pStyle w:val="FirstParagraph"/>
      </w:pPr>
      <w:r>
        <w:rPr>
          <w:bCs/>
          <w:b/>
        </w:rPr>
        <w:t xml:space="preserve">Pandemic Risks:</w:t>
      </w:r>
      <w:r>
        <w:t xml:space="preserve">The COVID-19 pandemic highlighted the vulnerability of healthcare services. We will maintain a comprehensive business interruption insurance policy and flexible sterilization protocols.</w:t>
      </w:r>
    </w:p>
    <w:bookmarkEnd w:id="29"/>
    <w:bookmarkStart w:id="30" w:name="conclusion"/>
    <w:p>
      <w:pPr>
        <w:pStyle w:val="Heading2"/>
      </w:pPr>
      <w:r>
        <w:t xml:space="preserve">8. Conclusion</w:t>
      </w:r>
    </w:p>
    <w:p>
      <w:pPr>
        <w:pStyle w:val="FirstParagraph"/>
      </w:pPr>
      <w:r>
        <w:t xml:space="preserve">The establishment of KL Premium Dental in Kuala Lumpur represents a viable and lucrative opportunity within Malaysia’s growing healthcare sector. By addressing the specific needs of both the local affluent population and international medical tourists, this Dentist project is positioned for sustainable growth. The strategic location in Kuala Lumpur, combined with rigorous adherence to Malaysian regulatory standards and a commitment to technological excellence, will ensure that the clinic becomes a preferred destination for oral health care.</w:t>
      </w:r>
    </w:p>
    <w:p>
      <w:pPr>
        <w:pStyle w:val="BodyText"/>
      </w:pPr>
      <w:r>
        <w:t xml:space="preserve">We recommend proceeding with the site selection phase immediately to capitalize on the current demand surge in aesthetic dentistry. With proper execution of this project report’s guidelines, KL Premium Dental will not only achieve financial success but also contribute positively to public oral health standards in Malaysia.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Dental Practice in Kuala Lumpur</dc:title>
  <dc:creator/>
  <dc:language>en</dc:language>
  <cp:keywords/>
  <dcterms:created xsi:type="dcterms:W3CDTF">2026-07-30T12:37:35Z</dcterms:created>
  <dcterms:modified xsi:type="dcterms:W3CDTF">2026-07-30T12:37:35Z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