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Auckland,</w:t>
      </w:r>
      <w:r>
        <w:t xml:space="preserve"> </w:t>
      </w:r>
      <w:r>
        <w:t xml:space="preserve">New</w:t>
      </w:r>
      <w:r>
        <w:t xml:space="preserve"> </w:t>
      </w:r>
      <w:r>
        <w:t xml:space="preserve">Zealand</w:t>
      </w:r>
    </w:p>
    <w:bookmarkStart w:id="34" w:name="Xd8a61b0ebbbc13f986eeafd2b5518fde4c1e455"/>
    <w:p>
      <w:pPr>
        <w:pStyle w:val="Heading1"/>
      </w:pPr>
      <w:r>
        <w:t xml:space="preserve">Dentist Project Report: Strategic Establishment and Operational Framework in Auckland, New Zealand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Team</w:t>
      </w:r>
      <w:r>
        <w:br/>
      </w:r>
      <w:r>
        <w:t xml:space="preserve">: Comprehensive Analysis for a New Private Dentist Clinic in Auckland, New Zealand. This report outlines the market viability, regulatory requirements, community needs, and strategic implementation plan required to successfully launch a high-quality dental practice within the dynamic healthcare landscape of Auckland.</w:t>
      </w:r>
    </w:p>
    <w:bookmarkStart w:id="20" w:name="executive-summary"/>
    <w:p>
      <w:pPr>
        <w:pStyle w:val="Heading2"/>
      </w:pPr>
      <w:r>
        <w:t xml:space="preserve">1. Executive Summary</w:t>
      </w:r>
    </w:p>
    <w:p>
      <w:pPr>
        <w:pStyle w:val="FirstParagraph"/>
      </w:pPr>
      <w:r>
        <w:t xml:space="preserve">This project report details the feasibility and operational blueprint for establishing a new dentist facility in Auckland, New Zealand. As one of the most rapidly growing cities in Oceania, Auckland presents a unique opportunity to address the rising demand for comprehensive dental care services. The primary objective is to create a patient-centric clinic that not only meets clinical excellence standards but also aligns with the multicultural demographic profile of New Zealand Auckland residents.</w:t>
      </w:r>
    </w:p>
    <w:p>
      <w:pPr>
        <w:pStyle w:val="BodyText"/>
      </w:pPr>
      <w:r>
        <w:t xml:space="preserve">The report highlights that while public dental care in New Zealand is largely restricted to children and youth, there remains a significant gap in affordable, accessible private dentist services for adults and seniors. By leveraging modern technology and adopting a holistic approach to oral health, this project aims to become a cornerstone of the local healthcare infrastructure.</w:t>
      </w:r>
    </w:p>
    <w:bookmarkEnd w:id="20"/>
    <w:bookmarkStart w:id="23" w:name="market-analysis-the-context-of-auckland"/>
    <w:p>
      <w:pPr>
        <w:pStyle w:val="Heading2"/>
      </w:pPr>
      <w:r>
        <w:t xml:space="preserve">2. Market Analysis: The Context of Auckland</w:t>
      </w:r>
    </w:p>
    <w:p>
      <w:pPr>
        <w:pStyle w:val="FirstParagraph"/>
      </w:pPr>
      <w:r>
        <w:t xml:space="preserve">Auckland is the largest city in New Zealand, home to approximately 1.7 million people—nearly one-third of the country's total population. This dense concentration of people creates a robust market for private healthcare services, including dentistry. However, the landscape is competitive.</w:t>
      </w:r>
    </w:p>
    <w:bookmarkStart w:id="21" w:name="demographic-trends"/>
    <w:p>
      <w:pPr>
        <w:pStyle w:val="Heading3"/>
      </w:pPr>
      <w:r>
        <w:t xml:space="preserve">2.1 Demographic Trends</w:t>
      </w:r>
    </w:p>
    <w:p>
      <w:pPr>
        <w:pStyle w:val="FirstParagraph"/>
      </w:pPr>
      <w:r>
        <w:t xml:space="preserve">The population of New Zealand Auckland is incredibly diverse, with significant Māori, Pasifika, Asian, and Pākehā (European descent) communities. A successful dentist practice must be culturally responsive. This involves understanding specific oral health disparities that may exist among different ethnic groups and tailoring communication strategies to be inclusive and accessible.</w:t>
      </w:r>
    </w:p>
    <w:bookmarkEnd w:id="21"/>
    <w:bookmarkStart w:id="22" w:name="demand-drivers"/>
    <w:p>
      <w:pPr>
        <w:pStyle w:val="Heading3"/>
      </w:pPr>
      <w:r>
        <w:t xml:space="preserve">2.2 Demand Drivers</w:t>
      </w:r>
    </w:p>
    <w:p>
      <w:pPr>
        <w:pStyle w:val="FirstParagraph"/>
      </w:pPr>
      <w:r>
        <w:t xml:space="preserve">Data indicates a steady increase in dental tourism within New Zealand, with many international patients seeking high-quality care at competitive rates compared to Australia or the UK. Furthermore, an aging population in Auckland requires more complex restorative and geriatric dental care, while younger demographics are increasingly prioritizing aesthetic dentistry such as aligners and veneers.</w:t>
      </w:r>
    </w:p>
    <w:bookmarkEnd w:id="22"/>
    <w:bookmarkEnd w:id="23"/>
    <w:bookmarkStart w:id="24" w:name="regulatory-and-legal-framework"/>
    <w:p>
      <w:pPr>
        <w:pStyle w:val="Heading2"/>
      </w:pPr>
      <w:r>
        <w:t xml:space="preserve">3. Regulatory and Legal Framework</w:t>
      </w:r>
    </w:p>
    <w:p>
      <w:pPr>
        <w:pStyle w:val="FirstParagraph"/>
      </w:pPr>
      <w:r>
        <w:t xml:space="preserve">Operating a dentist clinic in New Zealand requires strict adherence to national health regulations. Understanding these laws is critical for the project's compliance and risk management strategy.</w:t>
      </w:r>
    </w:p>
    <w:p>
      <w:pPr>
        <w:numPr>
          <w:ilvl w:val="0"/>
          <w:numId w:val="1001"/>
        </w:numPr>
        <w:pStyle w:val="Compact"/>
      </w:pPr>
      <w:r>
        <w:rPr>
          <w:bCs/>
          <w:b/>
        </w:rPr>
        <w:t xml:space="preserve">The Dental Council of New Zealand (DCNZ):</w:t>
      </w:r>
      <w:r>
        <w:t xml:space="preserve">All practitioners must be registered with the DCNZ. This body sets standards for professional conduct, continuing professional development (CPD), and clinical competencies.</w:t>
      </w:r>
    </w:p>
    <w:p>
      <w:pPr>
        <w:numPr>
          <w:ilvl w:val="0"/>
          <w:numId w:val="1001"/>
        </w:numPr>
        <w:pStyle w:val="Compact"/>
      </w:pPr>
      <w:r>
        <w:rPr>
          <w:bCs/>
          <w:b/>
        </w:rPr>
        <w:t xml:space="preserve">The Health and Disability Commissioner Act 1994:</w:t>
      </w:r>
      <w:r>
        <w:t xml:space="preserve">This act ensures that patients in New Zealand Auckland receive safe and respectful care. It guarantees rights such as the right to effective communication, dignity, and informed consent.</w:t>
      </w:r>
    </w:p>
    <w:p>
      <w:pPr>
        <w:numPr>
          <w:ilvl w:val="0"/>
          <w:numId w:val="1001"/>
        </w:numPr>
        <w:pStyle w:val="Compact"/>
      </w:pPr>
      <w:r>
        <w:rPr>
          <w:bCs/>
          <w:b/>
        </w:rPr>
        <w:t xml:space="preserve">HACCP Standards:</w:t>
      </w:r>
      <w:r>
        <w:t xml:space="preserve">Infection control is paramount. The clinic must adhere to strict Hazard Analysis Critical Control Point protocols for sterilization and cross-contamination prevention, monitored by local health boards.</w:t>
      </w:r>
    </w:p>
    <w:p>
      <w:pPr>
        <w:numPr>
          <w:ilvl w:val="0"/>
          <w:numId w:val="1001"/>
        </w:numPr>
        <w:pStyle w:val="Compact"/>
      </w:pPr>
      <w:r>
        <w:rPr>
          <w:bCs/>
          <w:b/>
        </w:rPr>
        <w:t xml:space="preserve">The Privacy Act 2020:</w:t>
      </w:r>
      <w:r>
        <w:t xml:space="preserve">Maintaining patient data confidentiality is a legal obligation. Digital records must be stored on secure, compliant servers within New Zealand jurisdiction or approved international equivalents.</w:t>
      </w:r>
    </w:p>
    <w:bookmarkEnd w:id="24"/>
    <w:bookmarkStart w:id="28" w:name="operational-strategy"/>
    <w:p>
      <w:pPr>
        <w:pStyle w:val="Heading2"/>
      </w:pPr>
      <w:r>
        <w:t xml:space="preserve">4. Operational Strategy</w:t>
      </w:r>
    </w:p>
    <w:bookmarkStart w:id="25" w:name="location-and-accessibility"/>
    <w:p>
      <w:pPr>
        <w:pStyle w:val="Heading3"/>
      </w:pPr>
      <w:r>
        <w:t xml:space="preserve">4.1 Location and Accessibility</w:t>
      </w:r>
    </w:p>
    <w:p>
      <w:pPr>
        <w:pStyle w:val="FirstParagraph"/>
      </w:pPr>
      <w:r>
        <w:t xml:space="preserve">The proposed location for the dentist clinic is in a central suburb of Auckland, such as Ponsonby or Newmarket, known for high foot traffic and proximity to public transport. Accessibility is key; the facility will be fully compliant with the Building Code requirements for people with disabilities, ensuring ramps and wide doorways are standard features.</w:t>
      </w:r>
    </w:p>
    <w:bookmarkEnd w:id="25"/>
    <w:bookmarkStart w:id="26" w:name="technology-integration"/>
    <w:p>
      <w:pPr>
        <w:pStyle w:val="Heading3"/>
      </w:pPr>
      <w:r>
        <w:t xml:space="preserve">4.2 Technology Integration</w:t>
      </w:r>
    </w:p>
    <w:p>
      <w:pPr>
        <w:pStyle w:val="FirstParagraph"/>
      </w:pPr>
      <w:r>
        <w:t xml:space="preserve">To compete effectively, the new dentist practice will utilize state-of-the-art technology. This includes:</w:t>
      </w:r>
    </w:p>
    <w:p>
      <w:pPr>
        <w:numPr>
          <w:ilvl w:val="0"/>
          <w:numId w:val="1002"/>
        </w:numPr>
        <w:pStyle w:val="Compact"/>
      </w:pPr>
      <w:r>
        <w:rPr>
          <w:bCs/>
          <w:b/>
        </w:rPr>
        <w:t xml:space="preserve">Digital X-rays and CBCT Scans:</w:t>
      </w:r>
      <w:r>
        <w:t xml:space="preserve">To reduce radiation exposure and provide high-resolution imaging for implant planning.</w:t>
      </w:r>
    </w:p>
    <w:p>
      <w:pPr>
        <w:numPr>
          <w:ilvl w:val="0"/>
          <w:numId w:val="1002"/>
        </w:numPr>
        <w:pStyle w:val="Compact"/>
      </w:pPr>
      <w:r>
        <w:rPr>
          <w:bCs/>
          <w:b/>
        </w:rPr>
        <w:t xml:space="preserve">Intraoral Cameras:</w:t>
      </w:r>
      <w:r>
        <w:t xml:space="preserve">Allowing patients to see what the dentist sees, enhancing education and consent.</w:t>
      </w:r>
    </w:p>
    <w:p>
      <w:pPr>
        <w:numPr>
          <w:ilvl w:val="0"/>
          <w:numId w:val="1002"/>
        </w:numPr>
      </w:pPr>
      <w:r>
        <w:t xml:space="preserve">Practice Management Software: Integrated systems for appointment scheduling, billing via ACC or private insurers, and automated recall reminders.</w:t>
      </w:r>
    </w:p>
    <w:bookmarkEnd w:id="26"/>
    <w:bookmarkStart w:id="27" w:name="staffing-and-training"/>
    <w:p>
      <w:pPr>
        <w:pStyle w:val="Heading3"/>
      </w:pPr>
      <w:r>
        <w:t xml:space="preserve">4.3 Staffing and Training</w:t>
      </w:r>
    </w:p>
    <w:p>
      <w:pPr>
        <w:pStyle w:val="FirstParagraph"/>
      </w:pPr>
      <w:r>
        <w:t xml:space="preserve">The team will consist of General Dentists, Orthodontists, Dental Hygienists/Therapists, and reception staff. Given the multicultural nature of Auckland hiring staff who speak languages such as Mandarin, Hindi, Samoan, or French would be a strategic advantage. Continuous training in soft skills and cultural competency is mandatory to serve the diverse population of New Zealand effectively.</w:t>
      </w:r>
    </w:p>
    <w:bookmarkEnd w:id="27"/>
    <w:bookmarkEnd w:id="28"/>
    <w:bookmarkStart w:id="29" w:name="financial-overview"/>
    <w:p>
      <w:pPr>
        <w:pStyle w:val="Heading2"/>
      </w:pPr>
      <w:r>
        <w:t xml:space="preserve">5. Financial Overview</w:t>
      </w:r>
    </w:p>
    <w:p>
      <w:pPr>
        <w:pStyle w:val="FirstParagraph"/>
      </w:pPr>
      <w:r>
        <w:t xml:space="preserve">The financial model for this dentist project is based on a hybrid revenue stream:</w:t>
      </w:r>
    </w:p>
    <w:p>
      <w:pPr>
        <w:numPr>
          <w:ilvl w:val="0"/>
          <w:numId w:val="1003"/>
        </w:numPr>
        <w:pStyle w:val="Compact"/>
      </w:pPr>
      <w:r>
        <w:rPr>
          <w:bCs/>
          <w:b/>
        </w:rPr>
        <w:t xml:space="preserve">Patient Fees:</w:t>
      </w:r>
      <w:r>
        <w:t xml:space="preserve">Covering private consultations, cosmetic procedures, and restorative work.</w:t>
      </w:r>
    </w:p>
    <w:p>
      <w:pPr>
        <w:numPr>
          <w:ilvl w:val="0"/>
          <w:numId w:val="1003"/>
        </w:numPr>
        <w:pStyle w:val="Compact"/>
      </w:pPr>
      <w:r>
        <w:rPr>
          <w:bCs/>
          <w:b/>
        </w:rPr>
        <w:t xml:space="preserve">Dental Assistance Unit (DAU) Scheme:</w:t>
      </w:r>
      <w:r>
        <w:t xml:space="preserve"> </w:t>
      </w:r>
      <w:r>
        <w:t xml:space="preserve">New Zealand operates a DAU funding system for eligible adults. By registering with the Ministry of Health, the clinic can receive government subsidies for specific treatments for low-income earners and benefit recipients. This expands our patient base to include those who might otherwise forego treatment.</w:t>
      </w:r>
    </w:p>
    <w:p>
      <w:pPr>
        <w:numPr>
          <w:ilvl w:val="0"/>
          <w:numId w:val="1003"/>
        </w:numPr>
        <w:pStyle w:val="Compact"/>
      </w:pPr>
      <w:r>
        <w:rPr>
          <w:bCs/>
          <w:b/>
        </w:rPr>
        <w:t xml:space="preserve">Corporate Partnerships:</w:t>
      </w:r>
      <w:r>
        <w:t xml:space="preserve">Collaborating with local Auckland businesses to provide employee dental benefits packages.</w:t>
      </w:r>
    </w:p>
    <w:p>
      <w:pPr>
        <w:pStyle w:val="FirstParagraph"/>
      </w:pPr>
      <w:r>
        <w:t xml:space="preserve">Preliminary cost analysis suggests that the initial capital expenditure for fit-out and equipment will be substantial. However, operating costs are mitigated by energy-efficient systems and a lean staffing model utilizing tele-dentistry for preliminary consultations.</w:t>
      </w:r>
    </w:p>
    <w:bookmarkEnd w:id="29"/>
    <w:bookmarkStart w:id="30" w:name="X80694ae9d0d29b3959b15e521254429ee30f921"/>
    <w:p>
      <w:pPr>
        <w:pStyle w:val="Heading2"/>
      </w:pPr>
      <w:r>
        <w:t xml:space="preserve">6. Community Engagement and Social Responsibility</w:t>
      </w:r>
    </w:p>
    <w:p>
      <w:pPr>
        <w:pStyle w:val="FirstParagraph"/>
      </w:pPr>
      <w:r>
        <w:t xml:space="preserve">A key pillar of this project is its commitment to the community of New Zealand Auckland. Oral health is inextricably linked to overall systemic health. The clinic plans to:</w:t>
      </w:r>
    </w:p>
    <w:p>
      <w:pPr>
        <w:numPr>
          <w:ilvl w:val="0"/>
          <w:numId w:val="1004"/>
        </w:numPr>
        <w:pStyle w:val="Compact"/>
      </w:pPr>
      <w:r>
        <w:rPr>
          <w:bCs/>
          <w:b/>
        </w:rPr>
        <w:t xml:space="preserve">School Outreach Programs:</w:t>
      </w:r>
      <w:r>
        <w:t xml:space="preserve">Partnering with local schools in Auckland to provide education on brushing and flossing.</w:t>
      </w:r>
    </w:p>
    <w:p>
      <w:pPr>
        <w:numPr>
          <w:ilvl w:val="0"/>
          <w:numId w:val="1004"/>
        </w:numPr>
        <w:pStyle w:val="Compact"/>
      </w:pPr>
      <w:r>
        <w:rPr>
          <w:bCs/>
          <w:b/>
        </w:rPr>
        <w:t xml:space="preserve">Māori Health Initiatives:</w:t>
      </w:r>
      <w:r>
        <w:t xml:space="preserve"> </w:t>
      </w:r>
      <w:r>
        <w:t xml:space="preserve">Collaborating with local iwi (tribes) to ensure cultural safety and promote oral health within Māori communities, respecting concepts such as *Hauora* (holistic well-being).</w:t>
      </w:r>
    </w:p>
    <w:p>
      <w:pPr>
        <w:numPr>
          <w:ilvl w:val="0"/>
          <w:numId w:val="1004"/>
        </w:numPr>
        <w:pStyle w:val="Compact"/>
      </w:pPr>
      <w:r>
        <w:rPr>
          <w:bCs/>
          <w:b/>
        </w:rPr>
        <w:t xml:space="preserve">Sustainability:</w:t>
      </w:r>
      <w:r>
        <w:t xml:space="preserve">Implementing eco-friendly practices, such as amalgam separators to prevent mercury pollution in local Auckland waterways and using biodegradable cleaning agents.</w:t>
      </w:r>
    </w:p>
    <w:bookmarkEnd w:id="30"/>
    <w:bookmarkStart w:id="31" w:name="risk-management"/>
    <w:p>
      <w:pPr>
        <w:pStyle w:val="Heading2"/>
      </w:pPr>
      <w:r>
        <w:t xml:space="preserve">7. Risk Management</w:t>
      </w:r>
    </w:p>
    <w:p>
      <w:pPr>
        <w:pStyle w:val="FirstParagraph"/>
      </w:pPr>
      <w:r>
        <w:t xml:space="preserve">Potential risks include changes in government health policy regarding the DAU scheme, competition from existing established clinics, and staff retention issues. To mitigate these:</w:t>
      </w:r>
    </w:p>
    <w:p>
      <w:pPr>
        <w:numPr>
          <w:ilvl w:val="0"/>
          <w:numId w:val="1005"/>
        </w:numPr>
        <w:pStyle w:val="Compact"/>
      </w:pPr>
      <w:r>
        <w:t xml:space="preserve">We will diversify revenue streams so we are not overly reliant on public subsidies.</w:t>
      </w:r>
    </w:p>
    <w:p>
      <w:pPr>
        <w:numPr>
          <w:ilvl w:val="0"/>
          <w:numId w:val="1005"/>
        </w:numPr>
        <w:pStyle w:val="Compact"/>
      </w:pPr>
      <w:r>
        <w:t xml:space="preserve">We will focus on exceptional patient experience to build loyalty that transcends price sensitivity.</w:t>
      </w:r>
    </w:p>
    <w:p>
      <w:pPr>
        <w:numPr>
          <w:ilvl w:val="0"/>
          <w:numId w:val="1005"/>
        </w:numPr>
        <w:pStyle w:val="Compact"/>
      </w:pPr>
      <w:r>
        <w:t xml:space="preserve">We will offer competitive salaries and professional development pathways to retain top dental talent in Auckland.</w:t>
      </w:r>
    </w:p>
    <w:bookmarkEnd w:id="31"/>
    <w:bookmarkStart w:id="32" w:name="conclusion"/>
    <w:p>
      <w:pPr>
        <w:pStyle w:val="Heading2"/>
      </w:pPr>
      <w:r>
        <w:t xml:space="preserve">8. Conclusion</w:t>
      </w:r>
    </w:p>
    <w:p>
      <w:pPr>
        <w:pStyle w:val="FirstParagraph"/>
      </w:pPr>
      <w:r>
        <w:t xml:space="preserve">The establishment of a new dentist clinic in Auckland, New Zealand is a viable and socially impactful venture. The city's growing population, coupled with the critical need for accessible oral healthcare services beyond childhood years, creates a favorable environment for this project. By adhering to strict regulatory standards, embracing technological innovation, and maintaining a deep respect for the cultural diversity of New Zealand Auckland residents, this clinic is poised to succeed.</w:t>
      </w:r>
    </w:p>
    <w:p>
      <w:pPr>
        <w:pStyle w:val="BodyText"/>
      </w:pPr>
      <w:r>
        <w:t xml:space="preserve">The strategic alignment with both private market demands and public health goals ensures sustainability. This report recommends moving forward with site selection and licensing applications immediately. With careful execution, this dentist practice will not only generate a solid return on investment but also significantly improve the quality of life for thousands of Aucklanders.</w:t>
      </w:r>
    </w:p>
    <w:bookmarkEnd w:id="32"/>
    <w:bookmarkStart w:id="33" w:name="recommendations"/>
    <w:p>
      <w:pPr>
        <w:pStyle w:val="Heading2"/>
      </w:pPr>
      <w:r>
        <w:t xml:space="preserve">9. Recommendations</w:t>
      </w:r>
    </w:p>
    <w:p>
      <w:pPr>
        <w:numPr>
          <w:ilvl w:val="0"/>
          <w:numId w:val="1006"/>
        </w:numPr>
        <w:pStyle w:val="Compact"/>
      </w:pPr>
      <w:r>
        <w:t xml:space="preserve">Proceed with lease negotiations for the primary site in Central Auckland.</w:t>
      </w:r>
    </w:p>
    <w:p>
      <w:pPr>
        <w:numPr>
          <w:ilvl w:val="0"/>
          <w:numId w:val="1006"/>
        </w:numPr>
        <w:pStyle w:val="Compact"/>
      </w:pPr>
      <w:r>
        <w:t xml:space="preserve">Begin registration processes with the Dental Council and Ministry of Health immediately to avoid delays.</w:t>
      </w:r>
    </w:p>
    <w:p>
      <w:pPr>
        <w:numPr>
          <w:ilvl w:val="0"/>
          <w:numId w:val="1006"/>
        </w:numPr>
        <w:pStyle w:val="Compact"/>
      </w:pPr>
      <w:r>
        <w:t xml:space="preserve">Hire a local marketing firm familiar with the Auckland healthcare landscape to build brand awareness prior to opening.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Auckland, New Zealand</dc:title>
  <dc:creator/>
  <dc:language>en</dc:language>
  <cp:keywords/>
  <dcterms:created xsi:type="dcterms:W3CDTF">2026-07-30T05:01:23Z</dcterms:created>
  <dcterms:modified xsi:type="dcterms:W3CDTF">2026-07-30T05:01:23Z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