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Community-Focused</w:t>
      </w:r>
      <w:r>
        <w:t xml:space="preserve"> </w:t>
      </w:r>
      <w:r>
        <w:t xml:space="preserve">Dietetic</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34" w:name="Xb7f68d63ce460818af374e7be4d9b4e1bb96777"/>
    <w:p>
      <w:pPr>
        <w:pStyle w:val="Heading1"/>
      </w:pPr>
      <w:r>
        <w:t xml:space="preserve">Project Report: Establishing a Community-Focused Dietetic Practice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rPr>
          <w:iCs/>
          <w:i/>
          <w:vertAlign w:val="subscript"/>
        </w:rPr>
        <w:t xml:space="preserve">Note: This document is written in English as requested.</w:t>
      </w:r>
      <w:r>
        <w:br/>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initiative to establish a specialized, community-focused dietetic practice located in the heart of Australia, Sydney. The primary objective is to address the rising prevalence of chronic lifestyle-related diseases within the diverse urban population of Sydney by providing accessible, evidence-based nutritional counseling and health education.</w:t>
      </w:r>
    </w:p>
    <w:p>
      <w:pPr>
        <w:pStyle w:val="BodyText"/>
      </w:pPr>
      <w:r>
        <w:t xml:space="preserve">The integration of a dedicated Dietitian service into the local healthcare landscape aims to bridge gaps in preventive care. By focusing on Australia, Sydney specifically, this project leverages the unique demographic and climatic conditions of this major metropolitan hub. The report details the market analysis, operational strategy, clinical frameworks, and projected outcomes relevant to launching a sustainable Dietitian business model within this competitive Australian market.</w:t>
      </w:r>
    </w:p>
    <w:bookmarkEnd w:id="20"/>
    <w:bookmarkStart w:id="21" w:name="project-background"/>
    <w:p>
      <w:pPr>
        <w:pStyle w:val="Heading2"/>
      </w:pPr>
      <w:r>
        <w:t xml:space="preserve">2. Project Background</w:t>
      </w:r>
    </w:p>
    <w:p>
      <w:pPr>
        <w:pStyle w:val="FirstParagraph"/>
      </w:pPr>
      <w:r>
        <w:t xml:space="preserve">The health profile of Australia has shifted significantly over the past two decades. Non-communicable diseases, including type 2 diabetes, cardiovascular disease, and obesity, have reached epidemic proportions. In Sydney specifically—the most populous city in Australia—the challenge is compounded by a highly multicultural population with varying dietary habits, socioeconomic disparities in access to fresh food markets,</w:t>
      </w:r>
    </w:p>
    <w:p>
      <w:pPr>
        <w:pStyle w:val="BodyText"/>
      </w:pPr>
      <w:r>
        <w:t xml:space="preserve">and a fast-paced urban lifestyle that often prioritizes convenience over nutrition. There is a critical need for professional intervention.</w:t>
      </w:r>
    </w:p>
    <w:p>
      <w:pPr>
        <w:pStyle w:val="BodyText"/>
      </w:pPr>
      <w:r>
        <w:t xml:space="preserve">This project seeks to deploy a high-quality Dietitian service that not only treats medical conditions but also promotes general wellness. The term "Dietitian" refers here strictly to Accredited Practising Dietitians (APDs) recognized by the Dietitians Association of Australia (DAA), ensuring that all clinical advice meets rigorous national standards.</w:t>
      </w:r>
    </w:p>
    <w:bookmarkEnd w:id="21"/>
    <w:bookmarkStart w:id="22" w:name="objectives"/>
    <w:p>
      <w:pPr>
        <w:pStyle w:val="Heading2"/>
      </w:pPr>
      <w:r>
        <w:t xml:space="preserve">3. Project Objectives</w:t>
      </w:r>
    </w:p>
    <w:p>
      <w:pPr>
        <w:numPr>
          <w:ilvl w:val="0"/>
          <w:numId w:val="1001"/>
        </w:numPr>
        <w:pStyle w:val="Compact"/>
      </w:pPr>
      <w:r>
        <w:rPr>
          <w:bCs/>
          <w:b/>
        </w:rPr>
        <w:t xml:space="preserve">Clinical Excellence:</w:t>
      </w:r>
    </w:p>
    <w:p>
      <w:pPr>
        <w:numPr>
          <w:ilvl w:val="0"/>
          <w:numId w:val="1001"/>
        </w:numPr>
        <w:pStyle w:val="Compact"/>
      </w:pPr>
      <w:r>
        <w:rPr>
          <w:bCs/>
          <w:b/>
        </w:rPr>
        <w:t xml:space="preserve">Educational Outreach:</w:t>
      </w:r>
      <w:r>
        <w:t xml:space="preserve">To implement community workshops focusing on healthy eating amidst the fast-paced urban environment of Sydney.</w:t>
      </w:r>
    </w:p>
    <w:p>
      <w:pPr>
        <w:numPr>
          <w:ilvl w:val="0"/>
          <w:numId w:val="1001"/>
        </w:numPr>
        <w:pStyle w:val="Compact"/>
      </w:pPr>
      <w:r>
        <w:rPr>
          <w:bCs/>
          <w:b/>
        </w:rPr>
        <w:t xml:space="preserve">Accessibility:</w:t>
      </w:r>
      <w:r>
        <w:t xml:space="preserve">To ensure services are accessible via Medicare rebates for eligible patients and through sliding-scale fees for those without private health insurance.</w:t>
      </w:r>
    </w:p>
    <w:p>
      <w:pPr>
        <w:numPr>
          <w:ilvl w:val="0"/>
          <w:numId w:val="1001"/>
        </w:numPr>
        <w:pStyle w:val="Compact"/>
      </w:pPr>
      <w:r>
        <w:rPr>
          <w:bCs/>
          <w:b/>
        </w:rPr>
        <w:t xml:space="preserve">Digital Integration:</w:t>
      </w:r>
      <w:r>
        <w:t xml:space="preserve">To utilize telehealth platforms to reach outer suburbs of Sydney, ensuring equitable access to Dietitian expertise across the metropolitan area.</w:t>
      </w:r>
    </w:p>
    <w:bookmarkEnd w:id="22"/>
    <w:bookmarkStart w:id="25" w:name="market-analysis"/>
    <w:p>
      <w:pPr>
        <w:pStyle w:val="Heading2"/>
      </w:pPr>
      <w:r>
        <w:t xml:space="preserve">4. Market Analysis: The Context of Australia, Sydney</w:t>
      </w:r>
    </w:p>
    <w:p>
      <w:pPr>
        <w:pStyle w:val="FirstParagraph"/>
      </w:pPr>
      <w:r>
        <w:t xml:space="preserve">Sydney presents a unique landscape for nutritional health services. As a global city in Australia, it boasts high levels of disposable income but also high rates of stress-related eating disorders and metabolic syndrome.</w:t>
      </w:r>
    </w:p>
    <w:bookmarkStart w:id="23" w:name="demographic-considerations"/>
    <w:p>
      <w:pPr>
        <w:pStyle w:val="Heading3"/>
      </w:pPr>
      <w:r>
        <w:t xml:space="preserve">4.1 Demographic Considerations</w:t>
      </w:r>
    </w:p>
    <w:p>
      <w:pPr>
        <w:pStyle w:val="FirstParagraph"/>
      </w:pPr>
      <w:r>
        <w:t xml:space="preserve">Australia, Sydney is incredibly diverse. A significant portion of the population consists of recent migrants from Asia, the Middle East, Europe, and Africa. A generic nutritional approach fails to resonate with these groups. The project will focus on adapting dietary guidelines to respect cultural food traditions while meeting nutritional needs. For instance, modifying traditional high-carbohydrate dishes common in Sydney’s South Asian communities to reduce glycemic load without sacrificing flavor or cultural significance.</w:t>
      </w:r>
    </w:p>
    <w:bookmarkEnd w:id="23"/>
    <w:bookmarkStart w:id="24" w:name="competitive-landscape"/>
    <w:p>
      <w:pPr>
        <w:pStyle w:val="Heading3"/>
      </w:pPr>
      <w:r>
        <w:t xml:space="preserve">4.2 Competitive Landscape</w:t>
      </w:r>
    </w:p>
    <w:p>
      <w:pPr>
        <w:pStyle w:val="FirstParagraph"/>
      </w:pPr>
      <w:r>
        <w:t xml:space="preserve">The market for nutrition advice in Australia is saturated with non-accredited "nutritionists" and influencers offering unregulated advice. The core competitive advantage of this project lies in the strict adherence to the credentials of a registered Dietitian. By emphasizing evidence-based medicine, we distinguish our services from the fad-diet industry prevalent on social media.</w:t>
      </w:r>
    </w:p>
    <w:bookmarkEnd w:id="24"/>
    <w:bookmarkEnd w:id="25"/>
    <w:bookmarkStart w:id="28" w:name="operational-strategy"/>
    <w:p>
      <w:pPr>
        <w:pStyle w:val="Heading2"/>
      </w:pPr>
      <w:r>
        <w:t xml:space="preserve">5. Operational Strategy</w:t>
      </w:r>
    </w:p>
    <w:p>
      <w:pPr>
        <w:pStyle w:val="FirstParagraph"/>
      </w:pPr>
      <w:r>
        <w:t xml:space="preserve">The operational model for this Dietitian practice in Australia, Sydney is hybrid, combining physical consultations with robust digital support.</w:t>
      </w:r>
    </w:p>
    <w:bookmarkStart w:id="26" w:name="location-and-facilities"/>
    <w:p>
      <w:pPr>
        <w:pStyle w:val="Heading3"/>
      </w:pPr>
      <w:r>
        <w:t xml:space="preserve">5.1 Location and Facilities</w:t>
      </w:r>
    </w:p>
    <w:p>
      <w:pPr>
        <w:pStyle w:val="FirstParagraph"/>
      </w:pPr>
      <w:r>
        <w:t xml:space="preserve">The primary clinic will be located in the Eastern Suburbs of Sydney, an area with high population density and significant corporate presence. This location allows for lunch-time consultations targeting busy professionals in Australia, Sydney. The facility will be designed to offer a calming environment conducive to discussing sensitive health issues.</w:t>
      </w:r>
    </w:p>
    <w:bookmarkEnd w:id="26"/>
    <w:bookmarkStart w:id="27" w:name="service-delivery-model"/>
    <w:p>
      <w:pPr>
        <w:pStyle w:val="Heading3"/>
      </w:pPr>
      <w:r>
        <w:t xml:space="preserve">5.2 Service Delivery Model</w:t>
      </w:r>
    </w:p>
    <w:p>
      <w:pPr>
        <w:numPr>
          <w:ilvl w:val="0"/>
          <w:numId w:val="1002"/>
        </w:numPr>
        <w:pStyle w:val="Compact"/>
      </w:pPr>
      <w:r>
        <w:rPr>
          <w:bCs/>
          <w:b/>
        </w:rPr>
        <w:t xml:space="preserve">In-Clinic Consultations:</w:t>
      </w:r>
      <w:r>
        <w:t xml:space="preserve">Focused on complex medical cases requiring physical assessment and detailed dietary analysis.</w:t>
      </w:r>
    </w:p>
    <w:p>
      <w:pPr>
        <w:numPr>
          <w:ilvl w:val="0"/>
          <w:numId w:val="1002"/>
        </w:numPr>
        <w:pStyle w:val="Compact"/>
      </w:pPr>
      <w:r>
        <w:rPr>
          <w:bCs/>
          <w:b/>
        </w:rPr>
        <w:t xml:space="preserve">Telehealth Services:</w:t>
      </w:r>
      <w:r>
        <w:t xml:space="preserve">Critical for reaching patients in Western Sydney or those with mobility issues. This ensures the Dietitian’s expertise is not geographically limited to the CBD.</w:t>
      </w:r>
    </w:p>
    <w:p>
      <w:pPr>
        <w:numPr>
          <w:ilvl w:val="0"/>
          <w:numId w:val="1002"/>
        </w:numPr>
        <w:pStyle w:val="Compact"/>
      </w:pPr>
      <w:r>
        <w:rPr>
          <w:bCs/>
          <w:b/>
        </w:rPr>
        <w:t xml:space="preserve">Corporate Wellness Programs:</w:t>
      </w:r>
      <w:r>
        <w:t xml:space="preserve">B2B contracts with large Australian firms headquartered in Sydney to provide on-site or virtual Nutritionist/Dietitian talks, aiming for workplace health improvement.</w:t>
      </w:r>
    </w:p>
    <w:bookmarkEnd w:id="27"/>
    <w:bookmarkEnd w:id="28"/>
    <w:bookmarkStart w:id="29" w:name="clinical-framework"/>
    <w:p>
      <w:pPr>
        <w:pStyle w:val="Heading2"/>
      </w:pPr>
      <w:r>
        <w:t xml:space="preserve">6. Clinical Framework and Standards</w:t>
      </w:r>
    </w:p>
    <w:p>
      <w:pPr>
        <w:pStyle w:val="FirstParagraph"/>
      </w:pPr>
      <w:r>
        <w:t xml:space="preserve">All clinical practices will adhere strictly to the guidelines set by the Dietitians Association of Australia (DAA). The practice will be registered with Medicare Australia, allowing patients with Chronic Disease Management (CDM) plans to receive rebates for up to five sessions per calendar year with a GP-referred Dietitian.</w:t>
      </w:r>
    </w:p>
    <w:p>
      <w:pPr>
        <w:pStyle w:val="BodyText"/>
      </w:pPr>
      <w:r>
        <w:t xml:space="preserve">The scope of practice includes:</w:t>
      </w:r>
    </w:p>
    <w:p>
      <w:pPr>
        <w:numPr>
          <w:ilvl w:val="0"/>
          <w:numId w:val="1003"/>
        </w:numPr>
        <w:pStyle w:val="Compact"/>
      </w:pPr>
      <w:r>
        <w:rPr>
          <w:bCs/>
          <w:b/>
        </w:rPr>
        <w:t xml:space="preserve">Pediatric Nutrition:</w:t>
      </w:r>
      <w:r>
        <w:t xml:space="preserve">Growing rates of childhood obesity in Sydney require early intervention strategies focused on school-aged children.</w:t>
      </w:r>
    </w:p>
    <w:p>
      <w:pPr>
        <w:numPr>
          <w:ilvl w:val="0"/>
          <w:numId w:val="1003"/>
        </w:numPr>
        <w:pStyle w:val="Compact"/>
      </w:pPr>
      <w:r>
        <w:rPr>
          <w:bCs/>
          <w:b/>
        </w:rPr>
        <w:t xml:space="preserve">Sports Nutrition:</w:t>
      </w:r>
      <w:r>
        <w:t xml:space="preserve">Leveraging Sydney’s active culture, providing services to amateur and professional athletes.</w:t>
      </w:r>
    </w:p>
    <w:p>
      <w:pPr>
        <w:numPr>
          <w:ilvl w:val="0"/>
          <w:numId w:val="1003"/>
        </w:numPr>
        <w:pStyle w:val="Compact"/>
      </w:pPr>
      <w:r>
        <w:rPr>
          <w:bCs/>
          <w:b/>
        </w:rPr>
        <w:t xml:space="preserve">Mental Health and Nutrition:</w:t>
      </w:r>
      <w:r>
        <w:t xml:space="preserve">A growing field addressing the gut-brain axis, particularly relevant in high-stress urban centers like Australia, Sydney.</w:t>
      </w:r>
    </w:p>
    <w:bookmarkEnd w:id="29"/>
    <w:bookmarkStart w:id="30" w:name="challenges"/>
    <w:p>
      <w:pPr>
        <w:pStyle w:val="Heading2"/>
      </w:pPr>
      <w:r>
        <w:t xml:space="preserve">7. Challenges and Risk Management</w:t>
      </w:r>
    </w:p>
    <w:p>
      <w:pPr>
        <w:pStyle w:val="FirstParagraph"/>
      </w:pPr>
      <w:r>
        <w:rPr>
          <w:bCs/>
          <w:b/>
        </w:rPr>
        <w:t xml:space="preserve">Economic Volatility:</w:t>
      </w:r>
      <w:r>
        <w:t xml:space="preserve">Inflation in Australia may affect disposable income for out-of-pocket health expenses. Mitigation involves offering tiered pricing and maximizing Medicare rebate utilization.</w:t>
      </w:r>
    </w:p>
    <w:p>
      <w:pPr>
        <w:pStyle w:val="BodyText"/>
      </w:pPr>
      <w:r>
        <w:rPr>
          <w:bCs/>
          <w:b/>
        </w:rPr>
        <w:t xml:space="preserve">Staff Retention:</w:t>
      </w:r>
      <w:r>
        <w:t xml:space="preserve">Finding qualified Dietitians who are eager to work in patient-centered care rather than purely administrative roles is a challenge. The project will offer competitive salaries and continuing professional development opportunities.</w:t>
      </w:r>
    </w:p>
    <w:p>
      <w:pPr>
        <w:pStyle w:val="BodyText"/>
      </w:pPr>
      <w:r>
        <w:rPr>
          <w:bCs/>
          <w:b/>
        </w:rPr>
        <w:t xml:space="preserve">Cultural Competency:</w:t>
      </w:r>
      <w:r>
        <w:t xml:space="preserve">Risk of misinterpretation of dietary needs across Sydney’s multicultural demographics. Mitigation involves hiring Dietitians from diverse backgrounds and continuous cultural competency training.</w:t>
      </w:r>
    </w:p>
    <w:bookmarkEnd w:id="30"/>
    <w:bookmarkStart w:id="31" w:name="financial-projections"/>
    <w:p>
      <w:pPr>
        <w:pStyle w:val="Heading2"/>
      </w:pPr>
      <w:r>
        <w:t xml:space="preserve">8. Financial Projections</w:t>
      </w:r>
    </w:p>
    <w:p>
      <w:pPr>
        <w:pStyle w:val="FirstParagraph"/>
      </w:pPr>
      <w:r>
        <w:t xml:space="preserve">The startup costs include leasehold improvements for the Sydney clinic, medical software licenses (such as Healthlink or Cliniko), and marketing campaigns targeting local communities. Revenue streams are projected from:</w:t>
      </w:r>
    </w:p>
    <w:p>
      <w:pPr>
        <w:numPr>
          <w:ilvl w:val="0"/>
          <w:numId w:val="1004"/>
        </w:numPr>
        <w:pStyle w:val="Compact"/>
      </w:pPr>
      <w:r>
        <w:rPr>
          <w:bCs/>
          <w:b/>
        </w:rPr>
        <w:t xml:space="preserve">Direct Fees:</w:t>
      </w:r>
      <w:r>
        <w:t xml:space="preserve">Approximately 40% of revenue.</w:t>
      </w:r>
    </w:p>
    <w:p>
      <w:pPr>
        <w:numPr>
          <w:ilvl w:val="0"/>
          <w:numId w:val="1004"/>
        </w:numPr>
        <w:pStyle w:val="Compact"/>
      </w:pPr>
      <w:r>
        <w:rPr>
          <w:bCs/>
          <w:b/>
        </w:rPr>
        <w:t xml:space="preserve">Medicare Rebates:</w:t>
      </w:r>
      <w:r>
        <w:t xml:space="preserve">Absorbed by the patient but increasing volume, accounting for 30% of patient acquisition.</w:t>
      </w:r>
    </w:p>
    <w:p>
      <w:pPr>
        <w:numPr>
          <w:ilvl w:val="0"/>
          <w:numId w:val="1004"/>
        </w:numPr>
        <w:pStyle w:val="Compact"/>
      </w:pPr>
      <w:r>
        <w:rPr>
          <w:bCs/>
          <w:b/>
        </w:rPr>
        <w:t xml:space="preserve">Cashback via Private Health Insurance:</w:t>
      </w:r>
      <w:r>
        <w:t xml:space="preserve">Including Dietitian extras cover, accounting for 20%.</w:t>
      </w:r>
    </w:p>
    <w:p>
      <w:pPr>
        <w:numPr>
          <w:ilvl w:val="0"/>
          <w:numId w:val="1004"/>
        </w:numPr>
        <w:pStyle w:val="Compact"/>
      </w:pPr>
      <w:r>
        <w:rPr>
          <w:bCs/>
          <w:b/>
        </w:rPr>
        <w:t xml:space="preserve">Corporate Contracts:</w:t>
      </w:r>
      <w:r>
        <w:t xml:space="preserve">The remaining 10%, providing stable baseline income.</w:t>
      </w:r>
    </w:p>
    <w:bookmarkEnd w:id="31"/>
    <w:bookmarkStart w:id="32" w:name="conclusion"/>
    <w:p>
      <w:pPr>
        <w:pStyle w:val="Heading2"/>
      </w:pPr>
      <w:r>
        <w:t xml:space="preserve">9. Conclusion</w:t>
      </w:r>
    </w:p>
    <w:p>
      <w:pPr>
        <w:pStyle w:val="FirstParagraph"/>
      </w:pPr>
      <w:r>
        <w:t xml:space="preserve">The establishment of this Dietitian practice in Australia, Sydney represents a timely and necessary intervention in the local healthcare sector. By addressing the specific needs of a diverse, urban population through evidence-based, culturally competent care, the project aims to reduce the burden of chronic disease.</w:t>
      </w:r>
    </w:p>
    <w:p>
      <w:pPr>
        <w:pStyle w:val="BodyText"/>
      </w:pPr>
      <w:r>
        <w:t xml:space="preserve">This Project Report confirms that there is both a market demand and a social imperative for specialized Dietitian services in Sydney. With proper execution of the outlined operational and clinical strategies, this initiative will not only achieve financial sustainability but also deliver significant public health benefits to the community.</w:t>
      </w:r>
    </w:p>
    <w:bookmarkEnd w:id="32"/>
    <w:bookmarkStart w:id="33" w:name="recommendations"/>
    <w:p>
      <w:pPr>
        <w:pStyle w:val="Heading2"/>
      </w:pPr>
      <w:r>
        <w:t xml:space="preserve">10. Recommendations</w:t>
      </w:r>
    </w:p>
    <w:p>
      <w:pPr>
        <w:pStyle w:val="FirstParagraph"/>
      </w:pPr>
      <w:r>
        <w:t xml:space="preserve">We recommend immediate approval of the budget for Phase 1 (Setup and Recruitment). Priority should be placed on hiring Lead Dietitians with expertise in chronic disease management and multicultural communication. Furthermore, partnerships with local General Practitioners in Sydney should be initiated immediately to create a referral pipeline.</w:t>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Community-Focused Dietetic Practice in Australia, Sydney</dc:title>
  <dc:creator/>
  <cp:keywords/>
  <dcterms:created xsi:type="dcterms:W3CDTF">2026-07-29T06:57:35Z</dcterms:created>
  <dcterms:modified xsi:type="dcterms:W3CDTF">2026-07-29T06:57:35Z</dcterms:modified>
</cp:coreProperties>
</file>

<file path=docProps/custom.xml><?xml version="1.0" encoding="utf-8"?>
<Properties xmlns="http://schemas.openxmlformats.org/officeDocument/2006/custom-properties" xmlns:vt="http://schemas.openxmlformats.org/officeDocument/2006/docPropsVTypes"/>
</file>