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w:t>
      </w:r>
      <w:r>
        <w:t xml:space="preserve"> </w:t>
      </w:r>
      <w:r>
        <w:t xml:space="preserve">Australia</w:t>
      </w:r>
      <w:r>
        <w:t xml:space="preserve"> </w:t>
      </w:r>
      <w:r>
        <w:t xml:space="preserve">Melbourne</w:t>
      </w:r>
    </w:p>
    <w:p>
      <w:pPr>
        <w:pStyle w:val="FirstParagraph"/>
      </w:pPr>
      <w:r>
        <w:t xml:space="preserve">```html</w:t>
      </w:r>
    </w:p>
    <w:bookmarkStart w:id="36" w:name="X5eb255d765528f68bf1c5f2017867c252ea7340"/>
    <w:p>
      <w:pPr>
        <w:pStyle w:val="Heading1"/>
      </w:pPr>
      <w:r>
        <w:t xml:space="preserve">Project Report: Doctor General Practitioner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Policy Advisors</w:t>
      </w:r>
      <w:r>
        <w:br/>
      </w:r>
      <w:r>
        <w:t xml:space="preserve">: Project Management Office</w:t>
      </w:r>
      <w:r>
        <w:br/>
      </w:r>
      <w:r>
        <w:br/>
      </w:r>
    </w:p>
    <w:bookmarkStart w:id="20" w:name="executive-summary"/>
    <w:p>
      <w:pPr>
        <w:pStyle w:val="Heading3"/>
      </w:pPr>
      <w:r>
        <w:t xml:space="preserve">Executive Summary</w:t>
      </w:r>
    </w:p>
    <w:p>
      <w:pPr>
        <w:pStyle w:val="FirstParagraph"/>
      </w:pPr>
      <w:r>
        <w:t xml:space="preserve">This Project Report outlines the comprehensive strategy for establishing and optimizing Doctor General Practitioner services within Australia Melbourne. As Melbourne continues to experience rapid population growth, particularly in its outer suburbs, the demand for primary healthcare has never been higher. This report details the current landscape of general practice in Australia Melbourne, identifies critical gaps in service delivery, proposes strategic infrastructure developments, and evaluates financial models that ensure sustainability while maintaining high standards of patient care.</w:t>
      </w:r>
    </w:p>
    <w:bookmarkEnd w:id="20"/>
    <w:bookmarkStart w:id="21" w:name="introduction"/>
    <w:p>
      <w:pPr>
        <w:pStyle w:val="Heading2"/>
      </w:pPr>
      <w:r>
        <w:t xml:space="preserve">1. Introduction</w:t>
      </w:r>
    </w:p>
    <w:p>
      <w:pPr>
        <w:pStyle w:val="FirstParagraph"/>
      </w:pPr>
      <w:r>
        <w:t xml:space="preserve">The health sector is a cornerstone of societal stability. In Australia Melbourne, the role of the Doctor General Practitioner extends beyond mere medical treatment; it serves as the primary entry point to the broader healthcare system. With a growing multicultural population and an aging demographic, Australia Melbourne faces unique challenges in healthcare accessibility. This report aims to provide a roadmap for enhancing these essential services.</w:t>
      </w:r>
    </w:p>
    <w:bookmarkEnd w:id="21"/>
    <w:bookmarkStart w:id="24" w:name="Xf3a643dfa42329fb8cba595de48af31a0baa64a"/>
    <w:p>
      <w:pPr>
        <w:pStyle w:val="Heading2"/>
      </w:pPr>
      <w:r>
        <w:t xml:space="preserve">2. Current Landscape of General Practice in Australia Melbourne</w:t>
      </w:r>
    </w:p>
    <w:bookmarkStart w:id="22" w:name="demographic-pressures"/>
    <w:p>
      <w:pPr>
        <w:pStyle w:val="Heading3"/>
      </w:pPr>
      <w:r>
        <w:t xml:space="preserve">2.1 Demographic Pressures</w:t>
      </w:r>
    </w:p>
    <w:p>
      <w:pPr>
        <w:pStyle w:val="FirstParagraph"/>
      </w:pPr>
      <w:r>
        <w:t xml:space="preserve">Melbourne is currently the fastest-growing capital city in Australia. This demographic surge places immense pressure on existing Doctor General Practitioner facilities. Data indicates that waiting times for appointments have increased by 15% over the last five years, particularly in postcodes beyond 20km from the Central Business District (CBD). The diverse cultural makeup of Australia Melbourne also necessitates a workforce capable of providing culturally sensitive care, requiring specialized training and linguistic support.</w:t>
      </w:r>
    </w:p>
    <w:bookmarkEnd w:id="22"/>
    <w:bookmarkStart w:id="23" w:name="infrastructure-status"/>
    <w:p>
      <w:pPr>
        <w:pStyle w:val="Heading3"/>
      </w:pPr>
      <w:r>
        <w:t xml:space="preserve">2.2 Infrastructure Status</w:t>
      </w:r>
    </w:p>
    <w:p>
      <w:pPr>
        <w:pStyle w:val="FirstParagraph"/>
      </w:pPr>
      <w:r>
        <w:t xml:space="preserve">Inner-city clinics in Australia Melbourne are often saturated, operating at or near capacity. Conversely, outer-ring suburbs suffer from a shortage of medical practitioners. While telehealth has mitigated some accessibility issues during the pandemic, the physical presence of a Doctor General Practitioner remains irreplaceable for comprehensive diagnostics and chronic disease management.</w:t>
      </w:r>
    </w:p>
    <w:bookmarkEnd w:id="23"/>
    <w:bookmarkEnd w:id="24"/>
    <w:bookmarkStart w:id="25" w:name="problem-statement"/>
    <w:p>
      <w:pPr>
        <w:pStyle w:val="Heading2"/>
      </w:pPr>
      <w:r>
        <w:t xml:space="preserve">3. Problem Statement</w:t>
      </w:r>
    </w:p>
    <w:p>
      <w:pPr>
        <w:pStyle w:val="FirstParagraph"/>
      </w:pPr>
      <w:r>
        <w:t xml:space="preserve">The primary challenge facing healthcare providers in Australia Melbourne is the inequitable distribution of Doctor General Practitioner resources. Key issues include:</w:t>
      </w:r>
    </w:p>
    <w:p>
      <w:pPr>
        <w:numPr>
          <w:ilvl w:val="0"/>
          <w:numId w:val="1001"/>
        </w:numPr>
        <w:pStyle w:val="Compact"/>
      </w:pPr>
      <w:r>
        <w:rPr>
          <w:bCs/>
          <w:b/>
        </w:rPr>
        <w:t xml:space="preserve">Surge Capacity:</w:t>
      </w:r>
      <w:r>
        <w:t xml:space="preserve"> </w:t>
      </w:r>
      <w:r>
        <w:t xml:space="preserve">Existing clinics lack the infrastructure to handle sudden spikes in patient volume, such as during flu seasons or public health crises.</w:t>
      </w:r>
    </w:p>
    <w:p>
      <w:pPr>
        <w:numPr>
          <w:ilvl w:val="0"/>
          <w:numId w:val="1001"/>
        </w:numPr>
        <w:pStyle w:val="Compact"/>
      </w:pPr>
      <w:r>
        <w:t xml:space="preserve">Digital Integration:: Many legacy systems used by independent practices in Australia Melbourne are not integrated with national electronic health records, leading to fragmented care.</w:t>
      </w:r>
    </w:p>
    <w:p>
      <w:pPr>
        <w:numPr>
          <w:ilvl w:val="0"/>
          <w:numId w:val="1001"/>
        </w:numPr>
        <w:pStyle w:val="Compact"/>
      </w:pPr>
      <w:r>
        <w:rPr>
          <w:bCs/>
          <w:b/>
        </w:rPr>
        <w:t xml:space="preserve">Workforce Retention:</w:t>
      </w:r>
      <w:r>
        <w:t xml:space="preserve">: Burnout among Doctor General Practitioner staff is high due to administrative burdens and long working hours.</w:t>
      </w:r>
    </w:p>
    <w:bookmarkEnd w:id="25"/>
    <w:bookmarkStart w:id="26" w:name="strategic-objectives"/>
    <w:p>
      <w:pPr>
        <w:pStyle w:val="Heading2"/>
      </w:pPr>
      <w:r>
        <w:t xml:space="preserve">4. Strategic Objectives</w:t>
      </w:r>
    </w:p>
    <w:p>
      <w:pPr>
        <w:pStyle w:val="FirstParagraph"/>
      </w:pPr>
      <w:r>
        <w:t xml:space="preserve">To address these challenges, the project outlines three strategic objectives for enhancing Doctor General Practitioner services in Australia Melbourne:</w:t>
      </w:r>
    </w:p>
    <w:p>
      <w:pPr>
        <w:numPr>
          <w:ilvl w:val="0"/>
          <w:numId w:val="1002"/>
        </w:numPr>
        <w:pStyle w:val="Compact"/>
      </w:pPr>
      <w:r>
        <w:rPr>
          <w:bCs/>
          <w:b/>
        </w:rPr>
        <w:t xml:space="preserve">Digital Transformation:</w:t>
      </w:r>
      <w:r>
        <w:t xml:space="preserve"> </w:t>
      </w:r>
      <w:r>
        <w:t xml:space="preserve">Implement a unified digital health platform across all general practices in Australia Melbourne to streamline patient records and appointment scheduling.</w:t>
      </w:r>
    </w:p>
    <w:p>
      <w:pPr>
        <w:numPr>
          <w:ilvl w:val="0"/>
          <w:numId w:val="1002"/>
        </w:numPr>
        <w:pStyle w:val="Compact"/>
      </w:pPr>
      <w:r>
        <w:rPr>
          <w:bCs/>
          <w:b/>
        </w:rPr>
        <w:t xml:space="preserve">Infrastructure Expansion:</w:t>
      </w:r>
      <w:r>
        <w:t xml:space="preserve"> </w:t>
      </w:r>
      <w:r>
        <w:t xml:space="preserve">Establish new satellite clinics in underserved outer-suburban areas to reduce travel times for patients.</w:t>
      </w:r>
    </w:p>
    <w:p>
      <w:pPr>
        <w:numPr>
          <w:ilvl w:val="0"/>
          <w:numId w:val="1002"/>
        </w:numPr>
        <w:pStyle w:val="Compact"/>
      </w:pPr>
      <w:r>
        <w:t xml:space="preserve">Cultural Competency Training:: Launch a mandatory training program for all Doctor General Practitioner staff to enhance cultural safety and communication with Melbourne’s diverse communities.</w:t>
      </w:r>
    </w:p>
    <w:bookmarkEnd w:id="26"/>
    <w:bookmarkStart w:id="30" w:name="proposed-solutions"/>
    <w:p>
      <w:pPr>
        <w:pStyle w:val="Heading2"/>
      </w:pPr>
      <w:r>
        <w:t xml:space="preserve">5. Proposed Solutions</w:t>
      </w:r>
    </w:p>
    <w:bookmarkStart w:id="27" w:name="technology-integration"/>
    <w:p>
      <w:pPr>
        <w:pStyle w:val="Heading3"/>
      </w:pPr>
      <w:r>
        <w:t xml:space="preserve">5.1 Technology Integration</w:t>
      </w:r>
    </w:p>
    <w:p>
      <w:pPr>
        <w:pStyle w:val="FirstParagraph"/>
      </w:pPr>
      <w:r>
        <w:t xml:space="preserve">We propose the adoption of a cloud-based Electronic Medical Record (EMR) system that is compliant with Australian privacy laws. This system will allow seamless data sharing between Doctor General Practitioner offices, specialists, and hospitals across Australia Melbourne. Additionally, an AI-driven triage tool will be introduced to help patients determine the urgency of their conditions before booking an appointment.</w:t>
      </w:r>
    </w:p>
    <w:bookmarkEnd w:id="27"/>
    <w:bookmarkStart w:id="28" w:name="community-based-clinics"/>
    <w:p>
      <w:pPr>
        <w:pStyle w:val="Heading3"/>
      </w:pPr>
      <w:r>
        <w:t xml:space="preserve">5.2 Community-Based Clinics</w:t>
      </w:r>
    </w:p>
    <w:p>
      <w:pPr>
        <w:pStyle w:val="FirstParagraph"/>
      </w:pPr>
      <w:r>
        <w:t xml:space="preserve">To improve accessibility in low-income areas of Australia Melbourne, we recommend partnering with local councils to convert underutilized community centers into multi-disciplinary health hubs. These hubs will house rotating teams of Doctor General Practitioner specialists, ensuring that even the most remote residents have access to quality primary care.</w:t>
      </w:r>
    </w:p>
    <w:bookmarkEnd w:id="28"/>
    <w:bookmarkStart w:id="29" w:name="workforce-support-programs"/>
    <w:p>
      <w:pPr>
        <w:pStyle w:val="Heading3"/>
      </w:pPr>
      <w:r>
        <w:t xml:space="preserve">5.3 Workforce Support Programs</w:t>
      </w:r>
    </w:p>
    <w:p>
      <w:pPr>
        <w:pStyle w:val="FirstParagraph"/>
      </w:pPr>
      <w:r>
        <w:t xml:space="preserve">A new incentive scheme will be introduced to attract and retain Doctor General Practitioner professionals in high-demand areas of Australia Melbourne. This includes loan forgiveness programs for practitioners who commit to working in underserved regions for a minimum of three years.</w:t>
      </w:r>
    </w:p>
    <w:bookmarkEnd w:id="29"/>
    <w:bookmarkEnd w:id="30"/>
    <w:bookmarkStart w:id="31" w:name="financial-analysis"/>
    <w:p>
      <w:pPr>
        <w:pStyle w:val="Heading2"/>
      </w:pPr>
      <w:r>
        <w:t xml:space="preserve">6. Financial Analysis</w:t>
      </w:r>
    </w:p>
    <w:p>
      <w:pPr>
        <w:pStyle w:val="FirstParagraph"/>
      </w:pPr>
      <w:r>
        <w:rPr>
          <w:bCs/>
          <w:b/>
        </w:rPr>
        <w:t xml:space="preserve">Cost Category</w:t>
      </w:r>
    </w:p>
    <w:p>
      <w:pPr>
        <w:pStyle w:val="BodyText"/>
      </w:pPr>
      <w:r>
        <w:rPr>
          <w:bCs/>
          <w:b/>
        </w:rPr>
        <w:t xml:space="preserve">Eestimated Cost (AUD)</w:t>
      </w:r>
      <w:r>
        <w:t xml:space="preserve">&gt;</w:t>
      </w:r>
    </w:p>
    <w:p>
      <w:pPr>
        <w:pStyle w:val="BodyText"/>
      </w:pPr>
      <w:r>
        <w:t xml:space="preserve">Description&gt;</w:t>
      </w:r>
    </w:p>
    <w:p>
      <w:pPr>
        <w:pStyle w:val="BodyText"/>
      </w:pPr>
      <w:r>
        <w:t xml:space="preserve">&gt;</w:t>
      </w:r>
      <w:r>
        <w:t xml:space="preserve"> </w:t>
      </w:r>
      <w:r>
        <w:t xml:space="preserve">&gt;&gt;</w:t>
      </w:r>
      <w:r>
        <w:t xml:space="preserve"> </w:t>
      </w:r>
      <w:r>
        <w:t xml:space="preserve">&gt;</w:t>
      </w:r>
      <w:r>
        <w:t xml:space="preserve"> </w:t>
      </w:r>
      <w:r>
        <w:t xml:space="preserve">tr&gt;&gt; &gt;td&gt;Digital Infrastructure Setup</w:t>
      </w:r>
    </w:p>
    <w:p>
      <w:pPr>
        <w:pStyle w:val="BodyText"/>
      </w:pPr>
      <w:r>
        <w:t xml:space="preserve">$2,000,00 15/td&gt; &gt;&gt; /tr&gt;/</w:t>
      </w:r>
    </w:p>
    <w:p>
      <w:pPr>
        <w:pStyle w:val="BodyText"/>
      </w:pPr>
      <w:r>
        <w:t xml:space="preserve">Clinic Construction</w:t>
      </w:r>
    </w:p>
    <w:p>
      <w:pPr>
        <w:pStyle w:val="BodyText"/>
      </w:pPr>
      <w:r>
        <w:t xml:space="preserve">$5,564/39 78</w:t>
      </w:r>
    </w:p>
    <w:p>
      <w:pPr>
        <w:pStyle w:val="BodyText"/>
      </w:pPr>
      <w:r>
        <w:t xml:space="preserve">&gt;</w:t>
      </w:r>
      <w:r>
        <w:t xml:space="preserve"> </w:t>
      </w:r>
      <w:r>
        <w:t xml:space="preserve">&gt; td&gt;&gt;</w:t>
      </w:r>
      <w:r>
        <w:t xml:space="preserve"> </w:t>
      </w:r>
      <w:r>
        <w:t xml:space="preserve">t/tr&gt;/</w:t>
      </w:r>
      <w:r>
        <w:t xml:space="preserve"> </w:t>
      </w:r>
      <w:r>
        <w:t xml:space="preserve">&gt; tr&gt;&gt; /th&gt;Workforce Training Programs</w:t>
      </w:r>
    </w:p>
    <w:p>
      <w:pPr>
        <w:pStyle w:val="BodyText"/>
      </w:pPr>
      <w:r>
        <w:t xml:space="preserve">$1,200,00 2/th&gt; &gt;&gt; /tr&gt;/</w:t>
      </w:r>
    </w:p>
    <w:p>
      <w:pPr>
        <w:pStyle w:val="BodyText"/>
      </w:pPr>
      <w:r>
        <w:t xml:space="preserve">Total Project Cost</w:t>
      </w:r>
    </w:p>
    <w:p>
      <w:pPr>
        <w:pStyle w:val="BodyText"/>
      </w:pPr>
      <w:r>
        <w:t xml:space="preserve">$8.76 Million</w:t>
      </w:r>
    </w:p>
    <w:p>
      <w:pPr>
        <w:pStyle w:val="BodyText"/>
      </w:pPr>
      <w:r>
        <w:t xml:space="preserve">&gt;</w:t>
      </w:r>
    </w:p>
    <w:p>
      <w:pPr>
        <w:pStyle w:val="BodyText"/>
      </w:pPr>
      <w:r>
        <w:t xml:space="preserve">&gt;</w:t>
      </w:r>
    </w:p>
    <w:p>
      <w:pPr>
        <w:pStyle w:val="BodyText"/>
      </w:pPr>
      <w:r>
        <w:t xml:space="preserve">&gt;</w:t>
      </w:r>
    </w:p>
    <w:p>
      <w:pPr>
        <w:pStyle w:val="BodyText"/>
      </w:pPr>
      <w:r>
        <w:t xml:space="preserve">The return on investment is projected to be realized through reduced emergency room visits, improved management of chronic conditions, and increased efficiency in healthcare delivery.</w:t>
      </w:r>
    </w:p>
    <w:bookmarkEnd w:id="31"/>
    <w:bookmarkStart w:id="32" w:name="implementation-timeline"/>
    <w:p>
      <w:pPr>
        <w:pStyle w:val="Heading2"/>
      </w:pPr>
      <w:r>
        <w:t xml:space="preserve">7. Implementation Timeline</w:t>
      </w:r>
    </w:p>
    <w:p>
      <w:pPr>
        <w:numPr>
          <w:ilvl w:val="0"/>
          <w:numId w:val="1003"/>
        </w:numPr>
        <w:pStyle w:val="Compact"/>
      </w:pPr>
      <w:r>
        <w:rPr>
          <w:bCs/>
          <w:b/>
        </w:rPr>
        <w:t xml:space="preserve">Phase 4 (Months 31-36):</w:t>
      </w:r>
      <w:r>
        <w:t xml:space="preserve"> </w:t>
      </w:r>
      <w:r>
        <w:t xml:space="preserve">: Full rollout and monitoring in Australia Melbourne.</w:t>
      </w:r>
    </w:p>
    <w:p>
      <w:pPr>
        <w:pStyle w:val="FirstParagraph"/>
      </w:pPr>
      <w:r>
        <w:t xml:space="preserve">&gt;</w:t>
      </w:r>
    </w:p>
    <w:bookmarkEnd w:id="32"/>
    <w:bookmarkStart w:id="33" w:name="risk-management"/>
    <w:p>
      <w:pPr>
        <w:pStyle w:val="Heading2"/>
      </w:pPr>
      <w:r>
        <w:t xml:space="preserve">8. Risk Management</w:t>
      </w:r>
    </w:p>
    <w:p>
      <w:pPr>
        <w:pStyle w:val="FirstParagraph"/>
      </w:pPr>
      <w:r>
        <w:t xml:space="preserve">Potential risks include technology adoption resistance from older practitioners and budget overruns due to construction delays. Mitigation strategies involve extensive change management workshops for staff and fixed-price contracts with construction partners.</w:t>
      </w:r>
    </w:p>
    <w:bookmarkEnd w:id="33"/>
    <w:bookmarkStart w:id="34" w:name="conclusion"/>
    <w:p>
      <w:pPr>
        <w:pStyle w:val="Heading2"/>
      </w:pPr>
      <w:r>
        <w:t xml:space="preserve">9. Conclusion</w:t>
      </w:r>
    </w:p>
    <w:p>
      <w:pPr>
        <w:pStyle w:val="FirstParagraph"/>
      </w:pPr>
      <w:r>
        <w:t xml:space="preserve">The enhancement of Doctor General Practitioner services is not merely an operational upgrade but a critical social imperative for Australia Melbourne. By addressing the current disparities in access and quality, this project will ensure that all residents, regardless of their socioeconomic status or location, receive equitable healthcare. The proposed solutions leverage technology and community engagement to create a sustainable model for primary care delivery.</w:t>
      </w:r>
    </w:p>
    <w:bookmarkEnd w:id="34"/>
    <w:bookmarkStart w:id="35" w:name="recommendations"/>
    <w:p>
      <w:pPr>
        <w:pStyle w:val="Heading2"/>
      </w:pPr>
      <w:r>
        <w:t xml:space="preserve">10. Recommendations</w:t>
      </w:r>
    </w:p>
    <w:p>
      <w:pPr>
        <w:pStyle w:val="FirstParagraph"/>
      </w:pPr>
      <w:r>
        <w:t xml:space="preserve">We strongly recommend the immediate approval of the budget allocated in Section 6. Furthermore, it is advised that the project steering committee include representatives from local communities in Australia Melbourne to ensure that patient voices guide the implementation process.</w:t>
      </w:r>
    </w:p>
    <w:p>
      <w:pPr>
        <w:pStyle w:val="BodyText"/>
      </w:pPr>
      <w:r>
        <w:t xml:space="preserve">&gt;</w:t>
      </w:r>
    </w:p>
    <w:p>
      <w:pPr>
        <w:pStyle w:val="BodyText"/>
      </w:pPr>
      <w:r>
        <w:t xml:space="preserve">© 2023 Project Management Office. Confidential Document.</w:t>
      </w:r>
    </w:p>
    <w:p>
      <w:pPr>
        <w:pStyle w:val="BodyText"/>
      </w:pPr>
      <w:r>
        <w:t xml:space="preserve">&gt;</w:t>
      </w:r>
    </w:p>
    <w:p>
      <w:pPr>
        <w:pStyle w:val="BodyText"/>
      </w:pPr>
      <w:r>
        <w:t xml:space="preserve">&gt;</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 Australia Melbourne</dc:title>
  <dc:creator/>
  <dc:language>en</dc:language>
  <cp:keywords/>
  <dcterms:created xsi:type="dcterms:W3CDTF">2026-07-29T15:24:44Z</dcterms:created>
  <dcterms:modified xsi:type="dcterms:W3CDTF">2026-07-29T15:24:44Z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