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35" w:name="X83f69cde4dd698b402c4dc090e3d7a180dc59e4"/>
    <w:p>
      <w:pPr>
        <w:pStyle w:val="Heading1"/>
      </w:pPr>
      <w:r>
        <w:t xml:space="preserve">Project Report: Doctor General Practitioner Implementation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 Private Healthcare Investors</w:t>
      </w:r>
      <w:r>
        <w:br/>
      </w:r>
    </w:p>
    <w:p>
      <w:pPr>
        <w:pStyle w:val="BodyText"/>
      </w:pPr>
      <w:r>
        <w:t xml:space="preserve">From: Project Management Office</w:t>
      </w:r>
      <w:r>
        <w:br/>
      </w:r>
    </w:p>
    <w:p>
      <w:pPr>
        <w:pStyle w:val="BodyText"/>
      </w:pPr>
      <w:r>
        <w:t xml:space="preserve">Subject:: Strategic Deployment of Doctor General Practitioner Services in Colombia Bogotá</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outcomes for deploying a network of Doctor General Practitioner clinics across the capital region of Colombia Bogotá. The primary objective is to address the growing demand for accessible, high-quality primary healthcare services in one of South America’s most densely populated urban centers. By integrating modern medical technology with community-focused care models, this initiative aims to reduce hospital overcrowding, improve chronic disease management, and enhance public health metrics throughout Colombia Bogotá.</w:t>
      </w:r>
    </w:p>
    <w:p>
      <w:pPr>
        <w:pStyle w:val="BodyText"/>
      </w:pPr>
      <w:r>
        <w:t xml:space="preserve">The proposed model relies heavily on the central role of the Doctor General Practitioner as the first point of contact for patients. This approach aligns with global best practices in primary care while addressing specific local challenges related to geography, socioeconomic diversity, and healthcare infrastructure within Colombia Bogotá. The report details market analysis, operational logistics, regulatory compliance with Colombian health laws (such as Law 100 of 1993), financial projections, and risk management strategies.</w:t>
      </w:r>
    </w:p>
    <w:bookmarkEnd w:id="20"/>
    <w:bookmarkStart w:id="23" w:name="background-and-context"/>
    <w:p>
      <w:pPr>
        <w:pStyle w:val="Heading2"/>
      </w:pPr>
      <w:r>
        <w:t xml:space="preserve">2. Background and Context</w:t>
      </w:r>
    </w:p>
    <w:bookmarkStart w:id="21" w:name="healthcare-landscape-in-colombia-bogotá"/>
    <w:p>
      <w:pPr>
        <w:pStyle w:val="Heading3"/>
      </w:pPr>
      <w:r>
        <w:t xml:space="preserve">2.1 Healthcare Landscape in Colombia Bogotá</w:t>
      </w:r>
    </w:p>
    <w:p>
      <w:pPr>
        <w:pStyle w:val="FirstParagraph"/>
      </w:pPr>
      <w:r>
        <w:t xml:space="preserve">Bogotá, the capital city of Colombia, is home to approximately eight million people, representing nearly 15% of the national population. The healthcare system in Colombia is structured under a mandatory health insurance scheme managed by various Health Promoting Entities (EPS). Despite this structure, residents in Colombia Bogotá often face significant barriers to accessing timely primary care. Long waiting times for specialist appointments and overcrowded emergency rooms are common complaints among the populace.</w:t>
      </w:r>
    </w:p>
    <w:p>
      <w:pPr>
        <w:pStyle w:val="BodyText"/>
      </w:pPr>
      <w:r>
        <w:t xml:space="preserve">The current deficit of primary care physicians in urban centers like Colombia Bogotá creates a critical gap that private and public-private partnerships can fill. There is a rising middle class with higher health awareness, alongside vulnerable populations relying on subsidized EPS plans, creating a dual market opportunity for Doctor General Practitioner services.</w:t>
      </w:r>
    </w:p>
    <w:bookmarkEnd w:id="21"/>
    <w:bookmarkStart w:id="22" w:name="Xeab0ebf838b16850aaaec27d1c19e9ef45d6afc"/>
    <w:p>
      <w:pPr>
        <w:pStyle w:val="Heading3"/>
      </w:pPr>
      <w:r>
        <w:t xml:space="preserve">2.2 The Role of the Doctor General Practitioner</w:t>
      </w:r>
    </w:p>
    <w:p>
      <w:pPr>
        <w:pStyle w:val="FirstParagraph"/>
      </w:pPr>
      <w:r>
        <w:t xml:space="preserve">The core component of this project is the deployment of qualified Doctor General Practitioners. These medical professionals serve as gatekeepers to the health system, providing diagnostic, preventive, and therapeutic services. In Colombia Bogotá, where traffic congestion ("estrés" caused by mobility) often delays patient care, having localized Doctor General Practitioner clinics allows for immediate attention to non-emergency conditions.</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Ambulatory Access:</w:t>
      </w:r>
      <w:r>
        <w:t xml:space="preserve">: Establish 10 initial clinics in key localities of Colombia Bogotá (e.g., Usaquén, Chapinero, Suba) within the first 18 months.</w:t>
      </w:r>
    </w:p>
    <w:p>
      <w:pPr>
        <w:numPr>
          <w:ilvl w:val="0"/>
          <w:numId w:val="1001"/>
        </w:numPr>
        <w:pStyle w:val="Compact"/>
      </w:pPr>
      <w:r>
        <w:rPr>
          <w:bCs/>
          <w:b/>
        </w:rPr>
        <w:t xml:space="preserve">Patient Volume:</w:t>
      </w:r>
      <w:r>
        <w:t xml:space="preserve">: Treat an estimated 50,000 patients annually by Year 3 of operations.</w:t>
      </w:r>
    </w:p>
    <w:p>
      <w:pPr>
        <w:numPr>
          <w:ilvl w:val="0"/>
          <w:numId w:val="1001"/>
        </w:numPr>
        <w:pStyle w:val="Compact"/>
      </w:pPr>
      <w:r>
        <w:rPr>
          <w:bCs/>
          <w:b/>
        </w:rPr>
        <w:t xml:space="preserve">Billing Integration:</w:t>
      </w:r>
      <w:r>
        <w:t xml:space="preserve">: Achieve seamless billing integration with major EPS providers in Colombia Bogotá to ensure reimbursement efficiency.</w:t>
      </w:r>
    </w:p>
    <w:p>
      <w:pPr>
        <w:numPr>
          <w:ilvl w:val="0"/>
          <w:numId w:val="1001"/>
        </w:numPr>
        <w:pStyle w:val="Compact"/>
      </w:pPr>
      <w:r>
        <w:rPr>
          <w:bCs/>
          <w:b/>
        </w:rPr>
        <w:t xml:space="preserve">Digital Health:</w:t>
      </w:r>
      <w:r>
        <w:t xml:space="preserve">: Implement a unified Electronic Medical Record (EMR) system compliant with Colombian data privacy regulations to facilitate continuity of care.</w:t>
      </w:r>
    </w:p>
    <w:p>
      <w:pPr>
        <w:numPr>
          <w:ilvl w:val="0"/>
          <w:numId w:val="1001"/>
        </w:numPr>
        <w:pStyle w:val="Compact"/>
      </w:pPr>
      <w:r>
        <w:rPr>
          <w:bCs/>
          <w:b/>
        </w:rPr>
        <w:t xml:space="preserve">Public Health Impact:</w:t>
      </w:r>
      <w:r>
        <w:t xml:space="preserve">: Reduce preventable hospital admissions by 15% in the target communities through effective chronic disease management by Doctor General Practitioner staff.</w:t>
      </w:r>
    </w:p>
    <w:bookmarkEnd w:id="24"/>
    <w:bookmarkStart w:id="27" w:name="operational-strategy"/>
    <w:p>
      <w:pPr>
        <w:pStyle w:val="Heading2"/>
      </w:pPr>
      <w:r>
        <w:t xml:space="preserve">4. Operational Strategy</w:t>
      </w:r>
    </w:p>
    <w:p>
      <w:pPr>
        <w:pStyle w:val="FirstParagraph"/>
      </w:pPr>
      <w:r>
        <w:t xml:space="preserve">The operational model for the Doctor General Practitioner clinics in Colombia Bogotá is designed for efficiency and patient comfort. Each clinic will be staffed by a team comprising at least two Doctor General Practitioners, nursing support, administrative personnel, and a medical director.</w:t>
      </w:r>
    </w:p>
    <w:bookmarkStart w:id="25" w:name="service-delivery-model"/>
    <w:p>
      <w:pPr>
        <w:pStyle w:val="Heading4"/>
      </w:pPr>
      <w:r>
        <w:t xml:space="preserve">Service Delivery Model</w:t>
      </w:r>
    </w:p>
    <w:p>
      <w:pPr>
        <w:pStyle w:val="FirstParagraph"/>
      </w:pPr>
      <w:r>
        <w:t xml:space="preserve">Clinics will operate on an appointment-based system with walk-in availability for urgent minor ailments. This hybrid model ensures optimal utilization of the Doctor General Practitioner’s time. Services will include general consultations, basic laboratory tests, vaccination programs, prenatal care guidance, and chronic disease monitoring (diabetes and hypertension management). Given the altitude and climate variations in Colombia Bogotá, respiratory infection prevention will also be a key service area.</w:t>
      </w:r>
    </w:p>
    <w:bookmarkEnd w:id="25"/>
    <w:bookmarkStart w:id="26" w:name="technology-infrastructure"/>
    <w:p>
      <w:pPr>
        <w:pStyle w:val="Heading4"/>
      </w:pPr>
      <w:r>
        <w:t xml:space="preserve">Technology Infrastructure</w:t>
      </w:r>
    </w:p>
    <w:p>
      <w:pPr>
        <w:pStyle w:val="FirstParagraph"/>
      </w:pPr>
      <w:r>
        <w:t xml:space="preserve">A robust telemedicine platform will support the physical clinics. This allows Doctor General Practitioners to consult with specialists remotely if necessary, enhancing diagnostic accuracy without requiring patient transport. The EMR system must integrate with the national health information systems required by the Superintendencia Nacional de Salud in Colombia.</w:t>
      </w:r>
    </w:p>
    <w:bookmarkEnd w:id="26"/>
    <w:bookmarkEnd w:id="27"/>
    <w:bookmarkStart w:id="28" w:name="regulatory-and-legal-framework"/>
    <w:p>
      <w:pPr>
        <w:pStyle w:val="Heading2"/>
      </w:pPr>
      <w:r>
        <w:t xml:space="preserve">5. Regulatory and Legal Framework</w:t>
      </w:r>
    </w:p>
    <w:p>
      <w:pPr>
        <w:pStyle w:val="FirstParagraph"/>
      </w:pPr>
      <w:r>
        <w:t xml:space="preserve">Navigating the regulatory environment is crucial for success in Colombia Bogotá. The project will strictly adhere to:</w:t>
      </w:r>
    </w:p>
    <w:p>
      <w:pPr>
        <w:numPr>
          <w:ilvl w:val="0"/>
          <w:numId w:val="1002"/>
        </w:numPr>
        <w:pStyle w:val="Compact"/>
      </w:pPr>
      <w:r>
        <w:t xml:space="preserve">Ley 100 de 1993:: The foundational law that structured the Colombian health insurance system.</w:t>
      </w:r>
    </w:p>
    <w:p>
      <w:pPr>
        <w:numPr>
          <w:ilvl w:val="0"/>
          <w:numId w:val="1002"/>
        </w:numPr>
        <w:pStyle w:val="Compact"/>
      </w:pPr>
      <w:r>
        <w:t xml:space="preserve">Rosette Regulation (Resolución 645 of 2023):: New regulations regarding quality indicators and accreditation for healthcare providers.</w:t>
      </w:r>
    </w:p>
    <w:p>
      <w:pPr>
        <w:numPr>
          <w:ilvl w:val="0"/>
          <w:numId w:val="1002"/>
        </w:numPr>
        <w:pStyle w:val="Compact"/>
      </w:pPr>
      <w:r>
        <w:t xml:space="preserve">Data Protection:: Compliance with Law 1581 of 2012, which protects personal data, ensuring patient privacy in all Doctor General Practitioner interactions.</w:t>
      </w:r>
    </w:p>
    <w:p>
      <w:pPr>
        <w:pStyle w:val="FirstParagraph"/>
      </w:pPr>
      <w:r>
        <w:t xml:space="preserve">All medical personnel must be registered with the Colegio de Médicos y Dentistas de Bogotá to practice legally. Continuous medical education will be mandated to maintain high standards of care.</w:t>
      </w:r>
    </w:p>
    <w:bookmarkEnd w:id="28"/>
    <w:bookmarkStart w:id="32" w:name="Xf6bb74e06afea5ef43309ffbc5cb6fd034089a2"/>
    <w:p>
      <w:pPr>
        <w:pStyle w:val="Heading2"/>
      </w:pPr>
      <w:r>
        <w:t xml:space="preserve">6. Market Analysis and Financial Projections</w:t>
      </w:r>
    </w:p>
    <w:bookmarkStart w:id="29" w:name="target-audience"/>
    <w:p>
      <w:pPr>
        <w:pStyle w:val="Heading3"/>
      </w:pPr>
      <w:r>
        <w:t xml:space="preserve">6.1 Target Audience</w:t>
      </w:r>
    </w:p>
    <w:p>
      <w:pPr>
        <w:pStyle w:val="FirstParagraph"/>
      </w:pPr>
      <w:r>
        <w:t xml:space="preserve">The target market includes:</w:t>
      </w:r>
      <w:r>
        <w:t xml:space="preserve"> </w:t>
      </w:r>
      <w:r>
        <w:t xml:space="preserve">1.</w:t>
      </w:r>
    </w:p>
    <w:p>
      <w:pPr>
        <w:pStyle w:val="BodyText"/>
      </w:pPr>
      <w:r>
        <w:t xml:space="preserve">EPS-Subsidized Patients:: Low-income residents relying on public insurance, where the clinic will bill via the collective contract mechanisms of Colombia Bogotá.</w:t>
      </w:r>
      <w:r>
        <w:t xml:space="preserve"> </w:t>
      </w:r>
      <w:r>
        <w:t xml:space="preserve">2.</w:t>
      </w:r>
    </w:p>
    <w:p>
      <w:pPr>
        <w:pStyle w:val="BodyText"/>
      </w:pPr>
      <w:r>
        <w:t xml:space="preserve">EPS-Payors and Particulares:: Middle to high-income individuals with private insurance or out-of-pocket payment capacity who value time and quality of service.</w:t>
      </w:r>
    </w:p>
    <w:bookmarkEnd w:id="29"/>
    <w:bookmarkStart w:id="30" w:name="revenue-model"/>
    <w:p>
      <w:pPr>
        <w:pStyle w:val="Heading3"/>
      </w:pPr>
      <w:r>
        <w:t xml:space="preserve">6.2 Revenue Model</w:t>
      </w:r>
    </w:p>
    <w:p>
      <w:pPr>
        <w:pStyle w:val="FirstParagraph"/>
      </w:pPr>
      <w:r>
        <w:t xml:space="preserve">Revenue will be generated through:</w:t>
      </w:r>
      <w:r>
        <w:t xml:space="preserve"> </w:t>
      </w:r>
      <w:r>
        <w:t xml:space="preserve">1.</w:t>
      </w:r>
    </w:p>
    <w:p>
      <w:pPr>
        <w:pStyle w:val="BodyText"/>
      </w:pPr>
      <w:r>
        <w:t xml:space="preserve">Fees for Service:: Billable consultations under the tariff agreements established by the government and negotiated with EPS entities.</w:t>
      </w:r>
      <w:r>
        <w:t xml:space="preserve"> </w:t>
      </w:r>
      <w:r>
        <w:t xml:space="preserve">2.</w:t>
      </w:r>
    </w:p>
    <w:p>
      <w:pPr>
        <w:pStyle w:val="BodyText"/>
      </w:pPr>
      <w:r>
        <w:t xml:space="preserve">Laboratory and Imaging Services:: In-house basic labs reduce turnaround time and increase revenue per visit.</w:t>
      </w:r>
      <w:r>
        <w:t xml:space="preserve"> </w:t>
      </w:r>
      <w:r>
        <w:t xml:space="preserve">3.</w:t>
      </w:r>
    </w:p>
    <w:p>
      <w:pPr>
        <w:pStyle w:val="BodyText"/>
      </w:pPr>
      <w:r>
        <w:t xml:space="preserve">Corporate Health Contracts:: B2B services for companies in Colombia Bogotá seeking occupational health check-ups.</w:t>
      </w:r>
    </w:p>
    <w:bookmarkEnd w:id="30"/>
    <w:bookmarkStart w:id="31" w:name="cost-structure"/>
    <w:p>
      <w:pPr>
        <w:pStyle w:val="Heading3"/>
      </w:pPr>
      <w:r>
        <w:t xml:space="preserve">6.3 Cost Structure</w:t>
      </w:r>
    </w:p>
    <w:p>
      <w:pPr>
        <w:pStyle w:val="FirstParagraph"/>
      </w:pPr>
      <w:r>
        <w:t xml:space="preserve">Major costs include physician salaries (Doctor General Practitioner compensation), real estate lease in strategic locations of Colombia Bogotá, medical supplies, technology licensing, and marketing. Initial capital expenditure is estimated at $1.5 million USD for the first ten clinics.</w:t>
      </w:r>
    </w:p>
    <w:bookmarkEnd w:id="31"/>
    <w:bookmarkEnd w:id="32"/>
    <w:bookmarkStart w:id="33" w:name="risk-management"/>
    <w:p>
      <w:pPr>
        <w:pStyle w:val="Heading2"/>
      </w:pPr>
      <w:r>
        <w:t xml:space="preserve">7. Risk Management</w:t>
      </w:r>
    </w:p>
    <w:p>
      <w:pPr>
        <w:pStyle w:val="FirstParagraph"/>
      </w:pPr>
      <w:r>
        <w:t xml:space="preserve">Social Unrest/Strikes:: Bogotá has a history of transportation and public service strikes ("paros"). Mitigation includes maintaining adequate stockpiles of essential medicines and leveraging telemedicine during mobility disruptions.</w:t>
      </w:r>
    </w:p>
    <w:p>
      <w:pPr>
        <w:pStyle w:val="BodyText"/>
      </w:pPr>
      <w:r>
        <w:t xml:space="preserve">Demand Fluctuations:: Economic downturns in Colombia may affect out-of-pocket spending. The strategy relies on diversified revenue from EPS contracts to stabilize income streams.</w:t>
      </w:r>
    </w:p>
    <w:p>
      <w:pPr>
        <w:pStyle w:val="BodyText"/>
      </w:pPr>
      <w:r>
        <w:t xml:space="preserve">Staff Retention:: High competition for skilled Doctor General Practitioner talent. We will offer competitive benefits, professional development opportunities, and a supportive work environment to retain top medical talent in Colombia Bogotá.</w:t>
      </w:r>
    </w:p>
    <w:bookmarkEnd w:id="33"/>
    <w:bookmarkStart w:id="34" w:name="conclusion"/>
    <w:p>
      <w:pPr>
        <w:pStyle w:val="Heading2"/>
      </w:pPr>
      <w:r>
        <w:t xml:space="preserve">8. Conclusion</w:t>
      </w:r>
    </w:p>
    <w:p>
      <w:pPr>
        <w:pStyle w:val="FirstParagraph"/>
      </w:pPr>
      <w:r>
        <w:t xml:space="preserve">The deployment of Doctor General Practitioner clinics in Colombia Bogotá represents a timely and necessary intervention in the region’s healthcare ecosystem. By focusing on primary care accessibility, we address systemic inefficiencies while meeting a clear social need. The project promises not only financial viability but also significant societal impact by improving the health outcomes of millions of residents in Colombia Bogotá.</w:t>
      </w:r>
    </w:p>
    <w:p>
      <w:pPr>
        <w:pStyle w:val="BodyText"/>
      </w:pPr>
      <w:r>
        <w:t xml:space="preserve">We recommend immediate approval to proceed with site selection and regulatory licensing processes. This initiative will set a benchmark for modern, patient-centric primary care delivery in Colombia, reinforcing the importance of the Doctor General Practitioner as the cornerstone of effective healthcare infrastructure.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Implementation in Colombia Bogotá</dc:title>
  <dc:creator/>
  <dc:language>en</dc:language>
  <cp:keywords/>
  <dcterms:created xsi:type="dcterms:W3CDTF">2026-07-29T19:21:27Z</dcterms:created>
  <dcterms:modified xsi:type="dcterms:W3CDTF">2026-07-29T19:21:27Z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