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General</w:t>
      </w:r>
      <w:r>
        <w:t xml:space="preserve"> </w:t>
      </w:r>
      <w:r>
        <w:t xml:space="preserve">Practitioner</w:t>
      </w:r>
      <w:r>
        <w:t xml:space="preserve"> </w:t>
      </w:r>
      <w:r>
        <w:t xml:space="preserve">Setup</w:t>
      </w:r>
      <w:r>
        <w:t xml:space="preserve"> </w:t>
      </w:r>
      <w:r>
        <w:t xml:space="preserve">in</w:t>
      </w:r>
      <w:r>
        <w:t xml:space="preserve"> </w:t>
      </w:r>
      <w:r>
        <w:t xml:space="preserve">Frankfurt,</w:t>
      </w:r>
      <w:r>
        <w:t xml:space="preserve"> </w:t>
      </w:r>
      <w:r>
        <w:t xml:space="preserve">Germany</w:t>
      </w:r>
    </w:p>
    <w:p>
      <w:pPr>
        <w:pStyle w:val="FirstParagraph"/>
      </w:pPr>
      <w:r>
        <w:t xml:space="preserve">```html</w:t>
      </w:r>
    </w:p>
    <w:bookmarkStart w:id="21" w:name="Xbc1391e840089ae7706808040f7b98776da05bb"/>
    <w:p>
      <w:pPr>
        <w:pStyle w:val="Heading1"/>
      </w:pPr>
      <w:r>
        <w:t xml:space="preserve">Project Report: General Practitioner Setup in Frankfurt, Germany</w:t>
      </w:r>
    </w:p>
    <w:bookmarkStart w:id="20" w:name="date"/>
    <w:p>
      <w:pPr>
        <w:pStyle w:val="Heading2"/>
      </w:pPr>
      <w:r>
        <w:t xml:space="preserve">Date:</w:t>
      </w:r>
    </w:p>
    <w:p>
      <w:pPr>
        <w:pStyle w:val="FirstParagraph"/>
      </w:pPr>
      <w:r>
        <w:t xml:space="preserve">October 26, 2023</w:t>
      </w:r>
    </w:p>
    <w:p>
      <w:r>
        <w:pict>
          <v:rect style="width:0;height:1.5pt" o:hralign="center" o:hrstd="t" o:hr="t"/>
        </w:pict>
      </w:r>
    </w:p>
    <w:bookmarkEnd w:id="20"/>
    <w:bookmarkEnd w:id="21"/>
    <w:bookmarkStart w:id="22" w:name="executive-summary"/>
    <w:p>
      <w:pPr>
        <w:pStyle w:val="Heading1"/>
      </w:pPr>
      <w:r>
        <w:t xml:space="preserve">Executive Summary</w:t>
      </w:r>
    </w:p>
    <w:p>
      <w:pPr>
        <w:pStyle w:val="FirstParagraph"/>
      </w:pPr>
      <w:r>
        <w:t xml:space="preserve">This report outlines the strategic framework for establishing a General Practitioner (GP) practice within Frankfurt, Germany. Frankfurt am Main stands as a pivotal economic and healthcare hub in Central Europe. As such, the demand for high-quality primary care is substantial due to its diverse population ranging from international financial professionals to long-term residents.</w:t>
      </w:r>
    </w:p>
    <w:p>
      <w:pPr>
        <w:pStyle w:val="BodyText"/>
      </w:pPr>
      <w:r>
        <w:t xml:space="preserve">The primary objective of this project is to navigate the complex regulatory landscape of the German healthcare system while ensuring clinical excellence and operational efficiency. This document serves as a comprehensive guide detailing legal requirements, market analysis, infrastructure needs, and operational strategies specifically tailored for Frankfurt.</w:t>
      </w:r>
    </w:p>
    <w:bookmarkEnd w:id="22"/>
    <w:bookmarkStart w:id="25" w:name="market-context-frankfurt-am-main"/>
    <w:p>
      <w:pPr>
        <w:pStyle w:val="Heading1"/>
      </w:pPr>
      <w:r>
        <w:t xml:space="preserve">1. Market Context: Frankfurt am Main</w:t>
      </w:r>
    </w:p>
    <w:p>
      <w:pPr>
        <w:pStyle w:val="FirstParagraph"/>
      </w:pPr>
      <w:r>
        <w:t xml:space="preserve">Frankfurt is known for its international character. With a population exceeding 750,000 and a significant expatriate community from over 190 nations, the potential patient base is vast and varied. Unlike rural areas in Germany where GPs may dominate local healthcare, Frankfurt presents a competitive yet lucrative environment.</w:t>
      </w:r>
    </w:p>
    <w:bookmarkStart w:id="23" w:name="demographic-analysis"/>
    <w:p>
      <w:pPr>
        <w:pStyle w:val="Heading3"/>
      </w:pPr>
      <w:r>
        <w:t xml:space="preserve">1.1 Demographic Analysis</w:t>
      </w:r>
    </w:p>
    <w:p>
      <w:pPr>
        <w:pStyle w:val="FirstParagraph"/>
      </w:pPr>
      <w:r>
        <w:t xml:space="preserve">The demographic profile of Frankfurt includes:</w:t>
      </w:r>
    </w:p>
    <w:p>
      <w:pPr>
        <w:numPr>
          <w:ilvl w:val="0"/>
          <w:numId w:val="1001"/>
        </w:numPr>
        <w:pStyle w:val="Compact"/>
      </w:pPr>
      <w:r>
        <w:t xml:space="preserve">A high concentration of young professionals working in finance and logistics.</w:t>
      </w:r>
    </w:p>
    <w:p>
      <w:pPr>
        <w:numPr>
          <w:ilvl w:val="0"/>
          <w:numId w:val="1001"/>
        </w:numPr>
        <w:pStyle w:val="Compact"/>
      </w:pPr>
      <w:r>
        <w:t xml:space="preserve">An aging population requiring chronic disease management.</w:t>
      </w:r>
    </w:p>
    <w:p>
      <w:pPr>
        <w:numPr>
          <w:ilvl w:val="0"/>
          <w:numId w:val="1001"/>
        </w:numPr>
        <w:pStyle w:val="Compact"/>
      </w:pPr>
      <w:r>
        <w:t xml:space="preserve">A significant number of non-German speakers who require multilingual medical services, providing a unique niche opportunity for GPs who speak English, Turkish, Arabic, or other major languages.</w:t>
      </w:r>
    </w:p>
    <w:bookmarkEnd w:id="23"/>
    <w:bookmarkStart w:id="24" w:name="healthcare-infrastructure"/>
    <w:p>
      <w:pPr>
        <w:pStyle w:val="Heading3"/>
      </w:pPr>
      <w:r>
        <w:t xml:space="preserve">1.2 Healthcare Infrastructure</w:t>
      </w:r>
    </w:p>
    <w:p>
      <w:pPr>
        <w:pStyle w:val="FirstParagraph"/>
      </w:pPr>
      <w:r>
        <w:t xml:space="preserve">Frankfurt is served by several university hospitals (such as University Hospital Frankfurt) and numerous specialized clinics. However, the foundation of the German healthcare system relies heavily on General Practitioners for first-line diagnosis, preventive care, and referrals. The proximity to major medical centers allows GPs in Frankfurt to focus on outpatient care while maintaining robust referral networks for complex cases.</w:t>
      </w:r>
    </w:p>
    <w:bookmarkEnd w:id="24"/>
    <w:bookmarkEnd w:id="25"/>
    <w:bookmarkStart w:id="28" w:name="Xc2d1a57cd71ffbe58529fb17351cf1f5f517707"/>
    <w:p>
      <w:pPr>
        <w:pStyle w:val="Heading1"/>
      </w:pPr>
      <w:r>
        <w:t xml:space="preserve">2. Regulatory and Legal Framework in Germany</w:t>
      </w:r>
    </w:p>
    <w:p>
      <w:pPr>
        <w:pStyle w:val="FirstParagraph"/>
      </w:pPr>
      <w:r>
        <w:t xml:space="preserve">Establishing a medical practice in Germany requires strict adherence to federal and state regulations. This section details the critical steps for compliance within the State of Hesse, where Frankfurt is located.</w:t>
      </w:r>
    </w:p>
    <w:bookmarkStart w:id="26" w:name="licensing-and-registration"/>
    <w:p>
      <w:pPr>
        <w:pStyle w:val="Heading3"/>
      </w:pPr>
      <w:r>
        <w:t xml:space="preserve">2.1 Licensing and Registration</w:t>
      </w:r>
    </w:p>
    <w:p>
      <w:pPr>
        <w:pStyle w:val="FirstParagraph"/>
      </w:pPr>
      <w:r>
        <w:t xml:space="preserve">All physicians must hold a valid license to practice medicine (Approbation). For international doctors, this may require passing additional language proficiency tests (C1 level in German) and knowledge exams if their medical degrees were obtained outside the EU/EEA.</w:t>
      </w:r>
    </w:p>
    <w:p>
      <w:pPr>
        <w:pStyle w:val="BodyText"/>
      </w:pPr>
      <w:r>
        <w:t xml:space="preserve">The physician must register with the</w:t>
      </w:r>
      <w:r>
        <w:t xml:space="preserve"> </w:t>
      </w:r>
      <w:r>
        <w:rPr>
          <w:bCs/>
          <w:b/>
        </w:rPr>
        <w:t xml:space="preserve">Hessische Ärztekammer</w:t>
      </w:r>
      <w:r>
        <w:t xml:space="preserve"> </w:t>
      </w:r>
      <w:r>
        <w:t xml:space="preserve">(Hessian Medical Association). This registration is mandatory to practice legally and to bill health insurance providers.</w:t>
      </w:r>
    </w:p>
    <w:bookmarkEnd w:id="26"/>
    <w:bookmarkStart w:id="27" w:name="chamber-of-physicians-membership"/>
    <w:p>
      <w:pPr>
        <w:pStyle w:val="Heading3"/>
      </w:pPr>
      <w:r>
        <w:t xml:space="preserve">2.2 Chamber of Physicians Membership</w:t>
      </w:r>
    </w:p>
    <w:p>
      <w:pPr>
        <w:pStyle w:val="FirstParagraph"/>
      </w:pPr>
      <w:r>
        <w:t xml:space="preserve">Mandatory membership in the local Chamber of Physicians ensures ongoing professional development and adherence to ethical standards. In Frankfurt, this falls under the jurisdiction that oversees quality assurance in primary care.</w:t>
      </w:r>
    </w:p>
    <w:bookmarkEnd w:id="27"/>
    <w:bookmarkEnd w:id="28"/>
    <w:bookmarkStart w:id="31" w:name="insurance-and-reimbursement-structure"/>
    <w:p>
      <w:pPr>
        <w:pStyle w:val="Heading1"/>
      </w:pPr>
      <w:r>
        <w:t xml:space="preserve">3. Insurance and Reimbursement Structure</w:t>
      </w:r>
    </w:p>
    <w:p>
      <w:pPr>
        <w:pStyle w:val="FirstParagraph"/>
      </w:pPr>
      <w:r>
        <w:t xml:space="preserve">A critical aspect of operating a GP practice in Germany is understanding the dual insurance system comprising Statutory Health Insurance (SHI) and Private Health Insurance (PHI).</w:t>
      </w:r>
    </w:p>
    <w:bookmarkStart w:id="29" w:name="X68a1f0b87d683ec8622be0787b18a2ec28cd972"/>
    <w:p>
      <w:pPr>
        <w:pStyle w:val="Heading3"/>
      </w:pPr>
      <w:r>
        <w:t xml:space="preserve">3.1 Contract with Kassenärztliche Vereinigung</w:t>
      </w:r>
    </w:p>
    <w:p>
      <w:pPr>
        <w:pStyle w:val="FirstParagraph"/>
      </w:pPr>
      <w:r>
        <w:t xml:space="preserve">To treat patients with public health insurance, the practice must secure a "zulassung" (approval) through the</w:t>
      </w:r>
      <w:r>
        <w:t xml:space="preserve"> </w:t>
      </w:r>
      <w:r>
        <w:rPr>
          <w:bCs/>
          <w:b/>
        </w:rPr>
        <w:t xml:space="preserve">Kassenärztliche Vereinigung Hessen</w:t>
      </w:r>
      <w:r>
        <w:t xml:space="preserve"> </w:t>
      </w:r>
      <w:r>
        <w:t xml:space="preserve">(Association of Statutory Health Insurance Physicians Hesse). Due to high demand in Frankfurt, obtaining a license to accept statutory patients can be challenging and may involve waiting lists.</w:t>
      </w:r>
    </w:p>
    <w:bookmarkEnd w:id="29"/>
    <w:bookmarkStart w:id="30" w:name="private-patients"/>
    <w:p>
      <w:pPr>
        <w:pStyle w:val="Heading3"/>
      </w:pPr>
      <w:r>
        <w:t xml:space="preserve">3.2 Private Patients</w:t>
      </w:r>
    </w:p>
    <w:p>
      <w:pPr>
        <w:pStyle w:val="FirstParagraph"/>
      </w:pPr>
      <w:r>
        <w:t xml:space="preserve">Given Frankfurt's affluent population, many residents have private insurance or pay out-of-pocket for self-pay services. Offering extended consultation hours or specialized wellness packages can attract this demographic, providing a steady revenue stream independent of the complex public billing systems.</w:t>
      </w:r>
    </w:p>
    <w:bookmarkEnd w:id="30"/>
    <w:bookmarkEnd w:id="31"/>
    <w:bookmarkStart w:id="34" w:name="operational-strategy-and-location"/>
    <w:p>
      <w:pPr>
        <w:pStyle w:val="Heading1"/>
      </w:pPr>
      <w:r>
        <w:t xml:space="preserve">4. Operational Strategy and Location</w:t>
      </w:r>
    </w:p>
    <w:bookmarkStart w:id="32" w:name="site-selection"/>
    <w:p>
      <w:pPr>
        <w:pStyle w:val="Heading3"/>
      </w:pPr>
      <w:r>
        <w:t xml:space="preserve">4.1 Site Selection</w:t>
      </w:r>
    </w:p>
    <w:p>
      <w:pPr>
        <w:pStyle w:val="FirstParagraph"/>
      </w:pPr>
      <w:r>
        <w:t xml:space="preserve">The choice of location in Frankfurt is pivotal. Recommended districts include:</w:t>
      </w:r>
    </w:p>
    <w:p>
      <w:pPr>
        <w:numPr>
          <w:ilvl w:val="0"/>
          <w:numId w:val="1002"/>
        </w:numPr>
        <w:pStyle w:val="Compact"/>
      </w:pPr>
      <w:r>
        <w:rPr>
          <w:bCs/>
          <w:b/>
        </w:rPr>
        <w:t xml:space="preserve">Sachsenhausen:</w:t>
      </w:r>
      <w:r>
        <w:t xml:space="preserve"> </w:t>
      </w:r>
      <w:r>
        <w:t xml:space="preserve">A vibrant, popular area with a mix of locals and visitors.</w:t>
      </w:r>
    </w:p>
    <w:p>
      <w:pPr>
        <w:numPr>
          <w:ilvl w:val="0"/>
          <w:numId w:val="1002"/>
        </w:numPr>
        <w:pStyle w:val="Compact"/>
      </w:pPr>
      <w:r>
        <w:rPr>
          <w:bCs/>
          <w:b/>
        </w:rPr>
        <w:t xml:space="preserve">North End (Nordend):</w:t>
      </w:r>
      <w:r>
        <w:t xml:space="preserve"> </w:t>
      </w:r>
      <w:r>
        <w:t xml:space="preserve">Known for its high density of families and students.</w:t>
      </w:r>
    </w:p>
    <w:p>
      <w:pPr>
        <w:pStyle w:val="FirstParagraph"/>
      </w:pPr>
      <w:r>
        <w:t xml:space="preserve">The clinic location must be accessible via public transport (U-Bahn/S-Bahn) as Frankfurtians heavily rely on the MVG public transit system. Parking availability is also a significant factor for patient convenience.</w:t>
      </w:r>
    </w:p>
    <w:bookmarkEnd w:id="32"/>
    <w:bookmarkStart w:id="33" w:name="staffing"/>
    <w:p>
      <w:pPr>
        <w:pStyle w:val="Heading3"/>
      </w:pPr>
      <w:r>
        <w:t xml:space="preserve">4.2 Staffing</w:t>
      </w:r>
    </w:p>
    <w:p>
      <w:pPr>
        <w:pStyle w:val="FirstParagraph"/>
      </w:pPr>
      <w:r>
        <w:t xml:space="preserve">A typical General Practitioner practice in Germany requires:</w:t>
      </w:r>
    </w:p>
    <w:p>
      <w:pPr>
        <w:numPr>
          <w:ilvl w:val="0"/>
          <w:numId w:val="1003"/>
        </w:numPr>
        <w:pStyle w:val="Compact"/>
      </w:pPr>
      <w:r>
        <w:t xml:space="preserve">Nursing staff (Krankenpfleger/Arzthelfer) who are bilingual if possible, to assist with triage and administrative tasks.</w:t>
      </w:r>
    </w:p>
    <w:p>
      <w:pPr>
        <w:pStyle w:val="FirstParagraph"/>
      </w:pPr>
      <w:r>
        <w:t xml:space="preserve">Digital integration is crucial. Implementing a German-compliant Electronic Health Record (EHR) system that interfaces with the Telematics Infrastructure (TI) is no longer optional but mandatory for future-proofing the practice against data security regulations.</w:t>
      </w:r>
    </w:p>
    <w:bookmarkEnd w:id="33"/>
    <w:bookmarkEnd w:id="34"/>
    <w:bookmarkStart w:id="35" w:name="X83e717d0e5d3e510cc48506c225727ceb2d178f"/>
    <w:p>
      <w:pPr>
        <w:pStyle w:val="Heading1"/>
      </w:pPr>
      <w:r>
        <w:t xml:space="preserve">5. Financial Projections and Cost Management</w:t>
      </w:r>
    </w:p>
    <w:p>
      <w:pPr>
        <w:pStyle w:val="FirstParagraph"/>
      </w:pPr>
      <w:r>
        <w:rPr>
          <w:bCs/>
          <w:b/>
        </w:rPr>
        <w:t xml:space="preserve">Initial Costs:</w:t>
      </w:r>
    </w:p>
    <w:p>
      <w:pPr>
        <w:numPr>
          <w:ilvl w:val="0"/>
          <w:numId w:val="1004"/>
        </w:numPr>
        <w:pStyle w:val="Compact"/>
      </w:pPr>
      <w:r>
        <w:t xml:space="preserve">Rental deposit and first month's rent: €10,000 - €25,00</w:t>
      </w:r>
    </w:p>
    <w:p>
      <w:pPr>
        <w:pStyle w:val="FirstParagraph"/>
      </w:pPr>
      <w:r>
        <w:t xml:space="preserve">The financial viability of a GP practice in Frankfurt depends on balancing the volume of statutory patients with private self-pay services. Cost management should focus on energy efficiency and digital workflows to reduce administrative overhead.</w:t>
      </w:r>
    </w:p>
    <w:bookmarkEnd w:id="35"/>
    <w:bookmarkStart w:id="36" w:name="risk-management-and-compliance"/>
    <w:p>
      <w:pPr>
        <w:pStyle w:val="Heading1"/>
      </w:pPr>
      <w:r>
        <w:t xml:space="preserve">6. Risk Management and Compliance</w:t>
      </w:r>
    </w:p>
    <w:p>
      <w:pPr>
        <w:pStyle w:val="FirstParagraph"/>
      </w:pPr>
      <w:r>
        <w:t xml:space="preserve">Data privacy under the GDPR (DSGVO) is strictly enforced in Germany. Patient data must be encrypted, and staff must undergo regular training on data security protocols.</w:t>
      </w:r>
    </w:p>
    <w:p>
      <w:pPr>
        <w:pStyle w:val="BodyText"/>
      </w:pPr>
      <w:r>
        <w:t xml:space="preserve">Additionally, occupational health and safety regulations require regular drills for emergency scenarios, including fire safety and hazardous material handling (e.g., bloodborne pathogens).</w:t>
      </w:r>
    </w:p>
    <w:bookmarkEnd w:id="36"/>
    <w:bookmarkStart w:id="37" w:name="conclusion"/>
    <w:p>
      <w:pPr>
        <w:pStyle w:val="Heading1"/>
      </w:pPr>
      <w:r>
        <w:t xml:space="preserve">7. Conclusion</w:t>
      </w:r>
    </w:p>
    <w:p>
      <w:pPr>
        <w:pStyle w:val="FirstParagraph"/>
      </w:pPr>
      <w:r>
        <w:t xml:space="preserve">The establishment of a General Practitioner practice in Frankfurt, Germany represents a viable and impactful business venture. By navigating the intricate regulatory requirements of the German healthcare system and leveraging Frankfurt's unique demographic diversity, practitioners can build sustainable practices.</w:t>
      </w:r>
    </w:p>
    <w:p>
      <w:pPr>
        <w:pStyle w:val="BodyText"/>
      </w:pPr>
      <w:r>
        <w:t xml:space="preserve">This project report underscores the necessity of thorough preparation regarding licensing, insurance contracting, and digital infrastructure. Success in this market requires not only medical expertise but also administrative proficiency and cultural sensitivity to serve Frankfurt’s international community effectively.</w:t>
      </w:r>
    </w:p>
    <w:bookmarkEnd w:id="37"/>
    <w:bookmarkStart w:id="38" w:name="recommendations"/>
    <w:p>
      <w:pPr>
        <w:pStyle w:val="Heading1"/>
      </w:pPr>
      <w:r>
        <w:t xml:space="preserve">8. Recommendations</w:t>
      </w:r>
    </w:p>
    <w:p>
      <w:pPr>
        <w:numPr>
          <w:ilvl w:val="0"/>
          <w:numId w:val="1005"/>
        </w:numPr>
        <w:pStyle w:val="Compact"/>
      </w:pPr>
      <w:r>
        <w:t xml:space="preserve">Prioritize obtaining approval from the Kassenärztliche Vereinigung early in the process due to potential bottlenecks.</w:t>
      </w:r>
    </w:p>
    <w:p>
      <w:pPr>
        <w:pStyle w:val="FirstParagraph"/>
      </w:pPr>
      <w:r>
        <w:t xml:space="preserve">This concludes the Project Report for setting up a General Practitioner practice in Frankfurt, Germany.</w:t>
      </w:r>
    </w:p>
    <w:p>
      <w:pPr>
        <w:pStyle w:val="BodyText"/>
      </w:pPr>
      <w:r>
        <w:t xml:space="preserve">```</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General Practitioner Setup in Frankfurt, Germany</dc:title>
  <dc:creator/>
  <dc:language>en</dc:language>
  <cp:keywords/>
  <dcterms:created xsi:type="dcterms:W3CDTF">2026-07-29T03:51:11Z</dcterms:created>
  <dcterms:modified xsi:type="dcterms:W3CDTF">2026-07-29T03:51:11Z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