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Project</w:t>
      </w:r>
      <w:r>
        <w:t xml:space="preserve"> </w:t>
      </w:r>
      <w:r>
        <w:t xml:space="preserve">Report:</w:t>
      </w:r>
      <w:r>
        <w:t xml:space="preserve"> </w:t>
      </w:r>
      <w:r>
        <w:t xml:space="preserve">Israel</w:t>
      </w:r>
      <w:r>
        <w:t xml:space="preserve"> </w:t>
      </w:r>
      <w:r>
        <w:t xml:space="preserve">Tel</w:t>
      </w:r>
      <w:r>
        <w:t xml:space="preserve"> </w:t>
      </w:r>
      <w:r>
        <w:t xml:space="preserve">Aviv</w:t>
      </w:r>
    </w:p>
    <w:bookmarkStart w:id="24" w:name="X3e7bc7b59e6ed741e14848d3a53e2fef6d26a72"/>
    <w:p>
      <w:pPr>
        <w:pStyle w:val="Heading1"/>
      </w:pPr>
      <w:r>
        <w:t xml:space="preserve">Project Report: Strategic Economic Integration and Market Analysis for the Economist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The Economist Group</w:t>
      </w:r>
      <w:r>
        <w:br/>
      </w:r>
    </w:p>
    <w:p>
      <w:r>
        <w:pict>
          <v:rect style="width:0;height:1.5pt" o:hralign="center" o:hrstd="t" o:hr="t"/>
        </w:pict>
      </w:r>
    </w:p>
    <w:p>
      <w:pPr>
        <w:pStyle w:val="FirstParagraph"/>
      </w:pPr>
      <w:r>
        <w:t xml:space="preserve">The Economist's physical and digital footprint in Tel Aviv, Israel. As a global hub for finance, technology, and policy-making, Tel Aviv presents a unique landscape where high-level economic discourse is not merely appreciated but essential to daily operations. This document argues that establishing a dedicated editorial and business development office in Tel Aviv will significantly enhance</w:t>
      </w:r>
      <w:r>
        <w:t xml:space="preserve"> </w:t>
      </w:r>
      <w:r>
        <w:rPr>
          <w:bCs/>
          <w:b/>
        </w:rPr>
        <w:t xml:space="preserve">The Economist's</w:t>
      </w:r>
      <w:r>
        <w:t xml:space="preserve"> </w:t>
      </w:r>
      <w:r>
        <w:t xml:space="preserve">relevance in the Middle East while capitalizing on the city’s burgeoning status as a global startup capital. The focus remains firmly on delivering authoritative, data-driven analysis tailored to the sophisticated Israeli audience, thereby reinforcing brand loyalty and increasing subscription revenues.</w:t>
      </w:r>
    </w:p>
    <w:bookmarkStart w:id="20" w:name="market-context-why-tel-aviv"/>
    <w:p>
      <w:pPr>
        <w:pStyle w:val="Heading2"/>
      </w:pPr>
      <w:r>
        <w:t xml:space="preserve">2. Market Context: Why Tel Aviv?</w:t>
      </w:r>
    </w:p>
    <w:p>
      <w:pPr>
        <w:pStyle w:val="FirstParagraph"/>
      </w:pPr>
      <w:r>
        <w:t xml:space="preserve">Tel Aviv is often referred to as "Startup Nation," but it is equally a center for traditional finance, international trade, and political strategy. The city’s economy has evolved from a regional trading post to a critical node in the global technology supply chain. Consequently, the demand for high-quality economic journalism has surged among C-suite executives, policymakers in Jerusalem who frequently commute to Tel Aviv for meetings with private sector leaders, and academic institutions.</w:t>
      </w:r>
    </w:p>
    <w:p>
      <w:pPr>
        <w:pStyle w:val="BodyText"/>
      </w:pPr>
      <w:r>
        <w:t xml:space="preserve">While digital penetration of</w:t>
      </w:r>
      <w:r>
        <w:t xml:space="preserve"> </w:t>
      </w:r>
      <w:r>
        <w:rPr>
          <w:bCs/>
          <w:b/>
        </w:rPr>
        <w:t xml:space="preserve">The Economist</w:t>
      </w:r>
      <w:r>
        <w:t xml:space="preserve"> </w:t>
      </w:r>
      <w:r>
        <w:t xml:space="preserve">is strong globally, there is a gap in localized engagement. Local news outlets provide immediate updates but often lack the broader geopolitical and macroeconomic context that defines our brand. By anchoring ourselves in Tel Aviv, we can bridge this gap, offering deep-dive analyses that resonate with the specific challenges facing Israel’s economy amid regional instability and global inflationary pressures.</w:t>
      </w:r>
    </w:p>
    <w:bookmarkEnd w:id="20"/>
    <w:bookmarkStart w:id="21" w:name="strategic-objectives"/>
    <w:p>
      <w:pPr>
        <w:pStyle w:val="Heading2"/>
      </w:pPr>
      <w:r>
        <w:t xml:space="preserve">3. Strategic Objectives</w:t>
      </w:r>
    </w:p>
    <w:p>
      <w:pPr>
        <w:numPr>
          <w:ilvl w:val="0"/>
          <w:numId w:val="1001"/>
        </w:numPr>
        <w:pStyle w:val="Compact"/>
      </w:pPr>
      <w:r>
        <w:rPr>
          <w:bCs/>
          <w:b/>
        </w:rPr>
        <w:t xml:space="preserve">Enhance Local Relevance:</w:t>
      </w:r>
      <w:r>
        <w:t xml:space="preserve"> </w:t>
      </w:r>
      <w:r>
        <w:t xml:space="preserve">Establish a permanent editorial desk in Tel Aviv to produce weekly content focusing on Israeli economic trends, regulatory changes, and their global implications.</w:t>
      </w:r>
    </w:p>
    <w:p>
      <w:pPr>
        <w:numPr>
          <w:ilvl w:val="0"/>
          <w:numId w:val="1001"/>
        </w:numPr>
        <w:pStyle w:val="Compact"/>
      </w:pPr>
      <w:r>
        <w:t xml:space="preserve">B2B Partnerships:&lt;</w:t>
      </w:r>
      <w:r>
        <w:t xml:space="preserve"> </w:t>
      </w:r>
      <w:r>
        <w:rPr>
          <w:bCs/>
          <w:b/>
        </w:rPr>
        <w:t xml:space="preserve">Brand Authority:</w:t>
      </w:r>
      <w:r>
        <w:t xml:space="preserve"> </w:t>
      </w:r>
      <w:r>
        <w:t xml:space="preserve">Host monthly seminars and roundtables in Tel Aviv, inviting leading economists to discuss topics relevant to both the Israeli market and global trends.</w:t>
      </w:r>
    </w:p>
    <w:p>
      <w:pPr>
        <w:numPr>
          <w:ilvl w:val="0"/>
          <w:numId w:val="1001"/>
        </w:numPr>
        <w:pStyle w:val="Compact"/>
      </w:pPr>
      <w:r>
        <w:t xml:space="preserve">Digital Expansion: Leverage data analytics from our Tel Aviv user base to refine our digital offering for the broader Middle East region.</w:t>
      </w:r>
    </w:p>
    <w:p>
      <w:pPr>
        <w:pStyle w:val="FirstParagraph"/>
      </w:pPr>
      <w:r>
        <w:t xml:space="preserve">The media landscape in Israel is competitive. Major international titles such as</w:t>
      </w:r>
      <w:r>
        <w:t xml:space="preserve"> </w:t>
      </w:r>
      <w:r>
        <w:rPr>
          <w:iCs/>
          <w:i/>
        </w:rPr>
        <w:t xml:space="preserve">Bloomberg</w:t>
      </w:r>
      <w:r>
        <w:t xml:space="preserve"> </w:t>
      </w:r>
      <w:r>
        <w:t xml:space="preserve">and</w:t>
      </w:r>
      <w:r>
        <w:t xml:space="preserve"> </w:t>
      </w:r>
      <w:r>
        <w:rPr>
          <w:iCs/>
          <w:i/>
        </w:rPr>
        <w:t xml:space="preserve">Financial Times</w:t>
      </w:r>
      <w:r>
        <w:t xml:space="preserve"> </w:t>
      </w:r>
      <w:r>
        <w:t xml:space="preserve">already have significant presences in the region. However, these competitors often focus heavily on real-time market data and breaking news.</w:t>
      </w:r>
      <w:r>
        <w:t xml:space="preserve"> </w:t>
      </w:r>
      <w:r>
        <w:rPr>
          <w:bCs/>
          <w:b/>
        </w:rPr>
        <w:t xml:space="preserve">The Economist's</w:t>
      </w:r>
      <w:r>
        <w:t xml:space="preserve"> </w:t>
      </w:r>
      <w:r>
        <w:t xml:space="preserve">unique value proposition lies in its long-form analysis, weekly perspective, and distinctive voice. Our strategy is to differentiate ourselves by offering not just "what happened," but "why it matters" for the future of global capital flows through Tel Aviv.</w:t>
      </w:r>
    </w:p>
    <w:p>
      <w:pPr>
        <w:pStyle w:val="BodyText"/>
      </w:pPr>
      <w:r>
        <w:t xml:space="preserve">Furthermore, local Israeli publications often suffer from resource constraints when it comes to international comparative analysis. By positioning</w:t>
      </w:r>
      <w:r>
        <w:t xml:space="preserve"> </w:t>
      </w:r>
      <w:r>
        <w:rPr>
          <w:bCs/>
          <w:b/>
        </w:rPr>
        <w:t xml:space="preserve">The Economist</w:t>
      </w:r>
      <w:r>
        <w:t xml:space="preserve"> </w:t>
      </w:r>
      <w:r>
        <w:t xml:space="preserve">as the bridge between local Israeli realities and global economic frameworks, we create a niche that few competitors can fill effectively.</w:t>
      </w:r>
    </w:p>
    <w:bookmarkEnd w:id="21"/>
    <w:bookmarkStart w:id="23" w:name="operational-plan-for-tel-aviv-office"/>
    <w:p>
      <w:pPr>
        <w:pStyle w:val="Heading2"/>
      </w:pPr>
      <w:r>
        <w:t xml:space="preserve">5. Operational Plan for Tel Aviv Office</w:t>
      </w:r>
    </w:p>
    <w:p>
      <w:pPr>
        <w:pStyle w:val="FirstParagraph"/>
      </w:pPr>
      <w:r>
        <w:t xml:space="preserve">The proposed office in Tel Aviv will be modest in size but high-impact. Located in the Azrieli Center or nearby Rothschild Boulevard, it will serve as both a business hub and an event space.</w:t>
      </w:r>
    </w:p>
    <w:p>
      <w:pPr>
        <w:numPr>
          <w:ilvl w:val="0"/>
          <w:numId w:val="1002"/>
        </w:numPr>
        <w:pStyle w:val="Compact"/>
      </w:pPr>
      <w:r>
        <w:rPr>
          <w:bCs/>
          <w:b/>
        </w:rPr>
        <w:t xml:space="preserve">Staffing:</w:t>
      </w:r>
      <w:r>
        <w:t xml:space="preserve"> </w:t>
      </w:r>
      <w:r>
        <w:t xml:space="preserve">Hire a Regional Editor for Israel based in Tel Aviv, supported by two junior analysts with strong backgrounds in economics and political science. This team will report to the London headquarters but maintain daily autonomy over local content curation.</w:t>
      </w:r>
    </w:p>
    <w:p>
      <w:pPr>
        <w:numPr>
          <w:ilvl w:val="0"/>
          <w:numId w:val="1002"/>
        </w:numPr>
        <w:pStyle w:val="Compact"/>
      </w:pPr>
      <w:r>
        <w:rPr>
          <w:bCs/>
          <w:b/>
        </w:rPr>
        <w:t xml:space="preserve">Tech Integration:</w:t>
      </w:r>
      <w:r>
        <w:t xml:space="preserve"> </w:t>
      </w:r>
      <w:r>
        <w:t xml:space="preserve">Utilize cloud-based collaboration tools to ensure seamless integration with global editorial teams. Content produced in Tel Aviv will be tagged for regional relevance while maintaining global distribution standards.</w:t>
      </w:r>
    </w:p>
    <w:p>
      <w:pPr>
        <w:pStyle w:val="FirstParagraph"/>
      </w:pPr>
      <w:r>
        <w:t xml:space="preserve">Initial investment is projected at $1.5 million USD for the first year, covering office lease, staffing, marketing launch campaigns in Israel</w:t>
      </w:r>
      <w:r>
        <w:t xml:space="preserve"> </w:t>
      </w:r>
      <w:r>
        <w:t xml:space="preserve">, and technology infrastructure. However, the ROI is expected to be realized within 3 years due to:</w:t>
      </w:r>
    </w:p>
    <w:p>
      <w:pPr>
        <w:numPr>
          <w:ilvl w:val="0"/>
          <w:numId w:val="1003"/>
        </w:numPr>
        <w:pStyle w:val="Compact"/>
      </w:pPr>
      <w:r>
        <w:t xml:space="preserve">A predicted 25% increase in corporate subscriptions from Israeli tech firms.</w:t>
      </w:r>
    </w:p>
    <w:p>
      <w:pPr>
        <w:numPr>
          <w:ilvl w:val="0"/>
          <w:numId w:val="1003"/>
        </w:numPr>
        <w:pStyle w:val="Compact"/>
      </w:pPr>
      <w:r>
        <w:t xml:space="preserve">Growth in digital ad revenue targeted at high-net-worth individuals in the region.</w:t>
      </w:r>
    </w:p>
    <w:p>
      <w:pPr>
        <w:numPr>
          <w:ilvl w:val="0"/>
          <w:numId w:val="1003"/>
        </w:numPr>
        <w:pStyle w:val="Compact"/>
      </w:pPr>
      <w:r>
        <w:t xml:space="preserve">Spillover effects into neighboring markets (Jordan, Egypt) where Tel Aviv content is highly consumed.</w:t>
      </w:r>
    </w:p>
    <w:p>
      <w:pPr>
        <w:pStyle w:val="FirstParagraph"/>
      </w:pPr>
      <w:r>
        <w:t xml:space="preserve">Table 1: Projected Revenue Streams for Tel Aviv Office</w:t>
      </w:r>
    </w:p>
    <w:p>
      <w:pPr>
        <w:pStyle w:val="BodyText"/>
      </w:pPr>
      <w:r>
        <w:t xml:space="preserve">New Individual Subscriptions</w:t>
      </w:r>
    </w:p>
    <w:p>
      <w:pPr>
        <w:pStyle w:val="BodyText"/>
      </w:pPr>
      <w:r>
        <w:t xml:space="preserve">&lt;1.8</w:t>
      </w:r>
    </w:p>
    <w:p>
      <w:pPr>
        <w:pStyle w:val="BodyText"/>
      </w:pPr>
      <w:bookmarkStart w:id="22" w:name="hidden-cell"/>
      <w:bookmarkEnd w:id="22"/>
    </w:p>
    <w:p>
      <w:pPr>
        <w:pStyle w:val="BodyText"/>
      </w:pPr>
      <w:r>
        <w:t xml:space="preserve">Total Yearly Revenue Growth Potential</w:t>
      </w:r>
    </w:p>
    <w:p>
      <w:pPr>
        <w:pStyle w:val="BodyText"/>
      </w:pPr>
      <w:r>
        <w:t xml:space="preserve">The primary risks associated with expanding</w:t>
      </w:r>
      <w:r>
        <w:t xml:space="preserve"> </w:t>
      </w:r>
      <w:r>
        <w:rPr>
          <w:bCs/>
          <w:b/>
        </w:rPr>
        <w:t xml:space="preserve">The Economist's</w:t>
      </w:r>
      <w:r>
        <w:t xml:space="preserve"> </w:t>
      </w:r>
      <w:r>
        <w:t xml:space="preserve">presence in Tel Aviv include regional geopolitical instability and fluctuations in the Israeli Shekel.</w:t>
      </w:r>
    </w:p>
    <w:p>
      <w:pPr>
        <w:numPr>
          <w:ilvl w:val="0"/>
          <w:numId w:val="1004"/>
        </w:numPr>
        <w:pStyle w:val="Compact"/>
      </w:pPr>
      <w:r>
        <w:rPr>
          <w:bCs/>
          <w:b/>
        </w:rPr>
        <w:t xml:space="preserve">Geopolitical Instability:</w:t>
      </w:r>
      <w:r>
        <w:t xml:space="preserve"> </w:t>
      </w:r>
      <w:r>
        <w:t xml:space="preserve">While conflict can disrupt daily operations, it often increases demand for expert analysis. Our mitigation strategy involves maintaining a remote-work infrastructure to ensure continuity of journalism regardless of physical office accessibility.</w:t>
      </w:r>
    </w:p>
    <w:p>
      <w:pPr>
        <w:pStyle w:val="FirstParagraph"/>
      </w:pPr>
      <w:r>
        <w:t xml:space="preserve">The establishment of a dedicated presence for</w:t>
      </w:r>
      <w:r>
        <w:t xml:space="preserve"> </w:t>
      </w:r>
      <w:r>
        <w:rPr>
          <w:bCs/>
          <w:b/>
        </w:rPr>
        <w:t xml:space="preserve">The Economist</w:t>
      </w:r>
      <w:r>
        <w:t xml:space="preserve"> </w:t>
      </w:r>
      <w:r>
        <w:t xml:space="preserve">in Tel Aviv is not just a business expansion; it is an intellectual necessity. In a world where economic decisions are increasingly influenced by events in the Middle East, having an authoritative voice rooted in Tel Aviv allows us to serve our global audience with greater depth and accuracy. The city’s dynamic blend of tradition and innovation mirrors our brand’s commitment to rigorous analysis adapted for the modern age.</w:t>
      </w:r>
    </w:p>
    <w:p>
      <w:pPr>
        <w:pStyle w:val="BodyText"/>
      </w:pPr>
      <w:r>
        <w:t xml:space="preserve">By investing in Tel Aviv, we are investing in clarity amidst complexity. We recommend immediate approval of the project budget to begin recruitment and site selection within Q1 2024. This move will solidify</w:t>
      </w:r>
      <w:r>
        <w:t xml:space="preserve"> </w:t>
      </w:r>
      <w:r>
        <w:rPr>
          <w:bCs/>
          <w:b/>
        </w:rPr>
        <w:t xml:space="preserve">The Economist's</w:t>
      </w:r>
      <w:r>
        <w:t xml:space="preserve"> </w:t>
      </w:r>
      <w:r>
        <w:t xml:space="preserve">position as the premier source of economic insight for leaders in Israel and beyond.</w:t>
      </w:r>
    </w:p>
    <w:p>
      <w:r>
        <w:pict>
          <v:rect style="width:0;height:1.5pt" o:hralign="center" o:hrstd="t" o:hr="t"/>
        </w:pict>
      </w:r>
    </w:p>
    <w:p>
      <w:pPr>
        <w:pStyle w:val="FirstParagraph"/>
      </w:pPr>
      <w:r>
        <w:rPr>
          <w:iCs/>
          <w:i/>
        </w:rPr>
        <w:t xml:space="preserve">This document is confidential and intended solely for the use of The Economist Group executive leadership. Any unauthorized distribution or reproduction is strictly prohibited. All data reflects current market conditions as of October 2023.</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Project Report: Israel Tel Aviv</dc:title>
  <dc:creator/>
  <dc:language>en</dc:language>
  <cp:keywords/>
  <dcterms:created xsi:type="dcterms:W3CDTF">2026-07-29T21:29:30Z</dcterms:created>
  <dcterms:modified xsi:type="dcterms:W3CDTF">2026-07-29T21:29:30Z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