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Project</w:t>
      </w:r>
      <w:r>
        <w:t xml:space="preserve"> </w:t>
      </w:r>
      <w:r>
        <w:t xml:space="preserve">Report:</w:t>
      </w:r>
      <w:r>
        <w:t xml:space="preserve"> </w:t>
      </w:r>
      <w:r>
        <w:t xml:space="preserve">Italy</w:t>
      </w:r>
      <w:r>
        <w:t xml:space="preserve"> </w:t>
      </w:r>
      <w:r>
        <w:t xml:space="preserve">Milan</w:t>
      </w:r>
    </w:p>
    <w:bookmarkStart w:id="33" w:name="X1ed58644c03c8126c1161712e2f8179d27533d0"/>
    <w:p>
      <w:pPr>
        <w:pStyle w:val="Heading1"/>
      </w:pPr>
      <w:r>
        <w:t xml:space="preserve">Economist Project Report: Market Expansion and Strategic Implementation in Italy Milan</w:t>
      </w:r>
    </w:p>
    <w:bookmarkStart w:id="20" w:name="date"/>
    <w:p>
      <w:pPr>
        <w:pStyle w:val="Heading3"/>
      </w:pPr>
      <w:r>
        <w:t xml:space="preserve">Date:</w:t>
      </w:r>
    </w:p>
    <w:p>
      <w:pPr>
        <w:pStyle w:val="FirstParagraph"/>
      </w:pPr>
      <w:r>
        <w:rPr>
          <w:bCs/>
          <w:b/>
        </w:rPr>
        <w:t xml:space="preserve">Sector:</w:t>
      </w:r>
    </w:p>
    <w:p>
      <w:pPr>
        <w:pStyle w:val="BodyText"/>
      </w:pPr>
      <w:r>
        <w:t xml:space="preserve">Milan, representing the economic heartbeat of Northern Italy and the broader nation.</w:t>
      </w:r>
    </w:p>
    <w:bookmarkEnd w:id="20"/>
    <w:bookmarkStart w:id="21" w:name="introduction-and-strategic-context"/>
    <w:p>
      <w:pPr>
        <w:pStyle w:val="Heading2"/>
      </w:pPr>
      <w:r>
        <w:t xml:space="preserve">1. Introduction and Strategic Context</w:t>
      </w:r>
    </w:p>
    <w:p>
      <w:pPr>
        <w:pStyle w:val="FirstParagraph"/>
      </w:pPr>
      <w:r>
        <w:t xml:space="preserve">The present document serves as a comprehensive Project Report detailing the operational framework, market analysis, and strategic deployment of our</w:t>
      </w:r>
      <w:r>
        <w:t xml:space="preserve"> </w:t>
      </w:r>
      <w:r>
        <w:rPr>
          <w:bCs/>
          <w:b/>
        </w:rPr>
        <w:t xml:space="preserve">Economist</w:t>
      </w:r>
      <w:r>
        <w:t xml:space="preserve">-led initiatives within the specific geographic jurisdiction of</w:t>
      </w:r>
      <w:r>
        <w:t xml:space="preserve"> </w:t>
      </w:r>
      <w:r>
        <w:rPr>
          <w:bCs/>
          <w:b/>
        </w:rPr>
        <w:t xml:space="preserve">Italy Milan</w:t>
      </w:r>
      <w:r>
        <w:t xml:space="preserve">. As global economic landscapes become increasingly interconnected, the role of high-level economic intelligence has never been more critical for stakeholders operating in Southern Europe. This report outlines how our specialized team addresses the unique fiscal, regulatory, and cultural nuances that define business operations in</w:t>
      </w:r>
      <w:r>
        <w:t xml:space="preserve"> </w:t>
      </w:r>
      <w:r>
        <w:rPr>
          <w:bCs/>
          <w:b/>
        </w:rPr>
        <w:t xml:space="preserve">Italy Milan</w:t>
      </w:r>
      <w:r>
        <w:t xml:space="preserve">.</w:t>
      </w:r>
    </w:p>
    <w:p>
      <w:pPr>
        <w:pStyle w:val="BodyText"/>
      </w:pPr>
      <w:r>
        <w:t xml:space="preserve">Milan is not merely a city; it is a global capital for fashion, design, finance, and engineering. For any</w:t>
      </w:r>
      <w:r>
        <w:t xml:space="preserve"> </w:t>
      </w:r>
      <w:r>
        <w:rPr>
          <w:bCs/>
          <w:b/>
        </w:rPr>
        <w:t xml:space="preserve">Economist</w:t>
      </w:r>
      <w:r>
        <w:t xml:space="preserve"> </w:t>
      </w:r>
      <w:r>
        <w:t xml:space="preserve">analyzing market entry or expansion strategies here, understanding the dual nature of the local economy—blending traditional family-owned enterprises with multinational corporate headquarters—is essential. This report aims to provide stakeholders with a clear roadmap for leveraging economic data to optimize performance in this competitive hub.</w:t>
      </w:r>
    </w:p>
    <w:bookmarkEnd w:id="21"/>
    <w:bookmarkStart w:id="23" w:name="market-overview-the-italy-milan-dynamic"/>
    <w:p>
      <w:pPr>
        <w:pStyle w:val="Heading2"/>
      </w:pPr>
      <w:r>
        <w:t xml:space="preserve">2. Market Overview: The Italy Milan Dynamic</w:t>
      </w:r>
    </w:p>
    <w:p>
      <w:pPr>
        <w:pStyle w:val="FirstParagraph"/>
      </w:pPr>
      <w:r>
        <w:t xml:space="preserve">The economic ecosystem of</w:t>
      </w:r>
      <w:r>
        <w:t xml:space="preserve"> </w:t>
      </w:r>
      <w:r>
        <w:rPr>
          <w:bCs/>
          <w:b/>
        </w:rPr>
        <w:t xml:space="preserve">Italy Milan</w:t>
      </w:r>
      <w:r>
        <w:t xml:space="preserve"> </w:t>
      </w:r>
      <w:r>
        <w:t xml:space="preserve">is characterized by high productivity but also complex regulatory frameworks. As the capital of Lombardy,</w:t>
      </w:r>
      <w:r>
        <w:t xml:space="preserve"> </w:t>
      </w:r>
      <w:r>
        <w:rPr>
          <w:bCs/>
          <w:b/>
        </w:rPr>
        <w:t xml:space="preserve">Milan</w:t>
      </w:r>
      <w:r>
        <w:t xml:space="preserve"> </w:t>
      </w:r>
      <w:r>
        <w:t xml:space="preserve">contributes significantly to the national GDP of</w:t>
      </w:r>
      <w:r>
        <w:t xml:space="preserve"> </w:t>
      </w:r>
      <w:r>
        <w:rPr>
          <w:bCs/>
          <w:b/>
        </w:rPr>
        <w:t xml:space="preserve">Italy</w:t>
      </w:r>
      <w:r>
        <w:t xml:space="preserve">. Recent trends indicate a shift towards digitalization and sustainable finance, creating new opportunities for economic consultancy.</w:t>
      </w:r>
    </w:p>
    <w:bookmarkStart w:id="22" w:name="key-economic-drivers-in-milan"/>
    <w:p>
      <w:pPr>
        <w:pStyle w:val="Heading3"/>
      </w:pPr>
      <w:r>
        <w:t xml:space="preserve">2.1 Key Economic Drivers in Milan</w:t>
      </w:r>
    </w:p>
    <w:p>
      <w:pPr>
        <w:numPr>
          <w:ilvl w:val="0"/>
          <w:numId w:val="1001"/>
        </w:numPr>
        <w:pStyle w:val="Compact"/>
      </w:pPr>
      <w:r>
        <w:rPr>
          <w:bCs/>
          <w:b/>
        </w:rPr>
        <w:t xml:space="preserve">Lombardy Region Strength:</w:t>
      </w:r>
      <w:r>
        <w:t xml:space="preserve">Milan serves as the headquarters for many of Italy’s largest banks and insurance companies. The regional economic stability provides a secure baseline for long-term investments.</w:t>
      </w:r>
    </w:p>
    <w:p>
      <w:pPr>
        <w:numPr>
          <w:ilvl w:val="0"/>
          <w:numId w:val="1001"/>
        </w:numPr>
        <w:pStyle w:val="Compact"/>
      </w:pPr>
      <w:r>
        <w:rPr>
          <w:bCs/>
          <w:b/>
        </w:rPr>
        <w:t xml:space="preserve">The Fashion and Luxury Sector:</w:t>
      </w:r>
      <w:r>
        <w:t xml:space="preserve">This sector is unique in its valuation models. Our team employs specialized</w:t>
      </w:r>
      <w:r>
        <w:t xml:space="preserve"> </w:t>
      </w:r>
      <w:r>
        <w:rPr>
          <w:iCs/>
          <w:i/>
        </w:rPr>
        <w:t xml:space="preserve">Economist</w:t>
      </w:r>
      <w:r>
        <w:t xml:space="preserve"> </w:t>
      </w:r>
      <w:r>
        <w:t xml:space="preserve">methodologies to assess brand equity, supply chain efficiencies, and global demand fluctuations specific to luxury goods.</w:t>
      </w:r>
    </w:p>
    <w:p>
      <w:pPr>
        <w:numPr>
          <w:ilvl w:val="0"/>
          <w:numId w:val="1001"/>
        </w:numPr>
        <w:pStyle w:val="Compact"/>
      </w:pPr>
      <w:r>
        <w:rPr>
          <w:bCs/>
          <w:b/>
        </w:rPr>
        <w:t xml:space="preserve">Digital Innovation Hub:</w:t>
      </w:r>
      <w:r>
        <w:t xml:space="preserve">Milan has emerged as a fintech and tech hub in Southern Europe. Understanding the tax incentives provided by the Italian government for R&amp;D is crucial for accurate economic forecasting.</w:t>
      </w:r>
    </w:p>
    <w:bookmarkEnd w:id="22"/>
    <w:bookmarkEnd w:id="23"/>
    <w:bookmarkStart w:id="24" w:name="X2a0365ba843f89b39771c9b79a92d3bac2d8e41"/>
    <w:p>
      <w:pPr>
        <w:pStyle w:val="Heading2"/>
      </w:pPr>
      <w:r>
        <w:t xml:space="preserve">3. The Role of the Economist in this Project</w:t>
      </w:r>
    </w:p>
    <w:p>
      <w:pPr>
        <w:pStyle w:val="FirstParagraph"/>
      </w:pPr>
      <w:r>
        <w:t xml:space="preserve">An</w:t>
      </w:r>
      <w:r>
        <w:t xml:space="preserve"> </w:t>
      </w:r>
      <w:r>
        <w:rPr>
          <w:bCs/>
          <w:b/>
        </w:rPr>
        <w:t xml:space="preserve">Economist</w:t>
      </w:r>
      <w:r>
        <w:t xml:space="preserve">, within the context of this project report, refers not only to a job title but to a functional methodology applied across all phases of our engagement. We deploy senior economic analysts who possess deep expertise in both microeconomic theory and macroeconomic policy application. The core responsibilities of the</w:t>
      </w:r>
      <w:r>
        <w:t xml:space="preserve"> </w:t>
      </w:r>
      <w:r>
        <w:rPr>
          <w:bCs/>
          <w:b/>
        </w:rPr>
        <w:t xml:space="preserve">Economist</w:t>
      </w:r>
      <w:r>
        <w:t xml:space="preserve"> </w:t>
      </w:r>
      <w:r>
        <w:t xml:space="preserve">team include:</w:t>
      </w:r>
    </w:p>
    <w:p>
      <w:pPr>
        <w:numPr>
          <w:ilvl w:val="0"/>
          <w:numId w:val="1002"/>
        </w:numPr>
        <w:pStyle w:val="Compact"/>
      </w:pPr>
      <w:r>
        <w:rPr>
          <w:bCs/>
          <w:b/>
        </w:rPr>
        <w:t xml:space="preserve">Data Aggregation and Interpretation:</w:t>
      </w:r>
      <w:r>
        <w:t xml:space="preserve">Merging global datasets with local municipal data from Milan to create hyper-localized economic models.</w:t>
      </w:r>
    </w:p>
    <w:p>
      <w:pPr>
        <w:numPr>
          <w:ilvl w:val="0"/>
          <w:numId w:val="1002"/>
        </w:numPr>
        <w:pStyle w:val="Compact"/>
      </w:pPr>
      <w:r>
        <w:rPr>
          <w:bCs/>
          <w:b/>
        </w:rPr>
        <w:t xml:space="preserve">Risk Assessment:</w:t>
      </w:r>
      <w:r>
        <w:t xml:space="preserve">Analyzing political stability, EU regulatory compliance, and currency fluctuations (EUR) against the specific risks present in the Italian market.</w:t>
      </w:r>
    </w:p>
    <w:p>
      <w:pPr>
        <w:numPr>
          <w:ilvl w:val="0"/>
          <w:numId w:val="1002"/>
        </w:numPr>
        <w:pStyle w:val="Compact"/>
      </w:pPr>
      <w:r>
        <w:rPr>
          <w:bCs/>
          <w:b/>
        </w:rPr>
        <w:t xml:space="preserve">Strategic Advisory:</w:t>
      </w:r>
      <w:r>
        <w:t xml:space="preserve">Moving beyond raw data to provide actionable recommendations. An effective</w:t>
      </w:r>
      <w:r>
        <w:t xml:space="preserve"> </w:t>
      </w:r>
      <w:r>
        <w:rPr>
          <w:iCs/>
          <w:i/>
        </w:rPr>
        <w:t xml:space="preserve">Economist</w:t>
      </w:r>
      <w:r>
        <w:t xml:space="preserve"> </w:t>
      </w:r>
      <w:r>
        <w:t xml:space="preserve">must translate complex statistical trends into clear business strategies for clients operating in</w:t>
      </w:r>
      <w:r>
        <w:t xml:space="preserve"> </w:t>
      </w:r>
      <w:r>
        <w:rPr>
          <w:bCs/>
          <w:b/>
        </w:rPr>
        <w:t xml:space="preserve">Milan</w:t>
      </w:r>
      <w:r>
        <w:t xml:space="preserve">.</w:t>
      </w:r>
    </w:p>
    <w:bookmarkEnd w:id="24"/>
    <w:bookmarkStart w:id="28" w:name="Xc5db0acc2aa6b611b4100a7fa1a4774d31ec54e"/>
    <w:p>
      <w:pPr>
        <w:pStyle w:val="Heading2"/>
      </w:pPr>
      <w:r>
        <w:t xml:space="preserve">4. Methodological Approach and Analysis Framework</w:t>
      </w:r>
    </w:p>
    <w:p>
      <w:pPr>
        <w:pStyle w:val="FirstParagraph"/>
      </w:pPr>
      <w:r>
        <w:t xml:space="preserve">To ensure the integrity of this Project Report, we have adopted a rigorous analytical framework tailored to the</w:t>
      </w:r>
      <w:r>
        <w:t xml:space="preserve"> </w:t>
      </w:r>
      <w:r>
        <w:rPr>
          <w:bCs/>
          <w:b/>
        </w:rPr>
        <w:t xml:space="preserve">Economist</w:t>
      </w:r>
      <w:r>
        <w:t xml:space="preserve">'s standard operating procedures in Southern European markets. The approach is divided into three distinct phases:</w:t>
      </w:r>
    </w:p>
    <w:bookmarkStart w:id="25" w:name="macro-economic-environmental-scanning"/>
    <w:p>
      <w:pPr>
        <w:pStyle w:val="Heading3"/>
      </w:pPr>
      <w:r>
        <w:t xml:space="preserve">4.1 Macro-Economic Environmental Scanning</w:t>
      </w:r>
    </w:p>
    <w:p>
      <w:pPr>
        <w:pStyle w:val="FirstParagraph"/>
      </w:pPr>
      <w:r>
        <w:t xml:space="preserve">We begin by evaluating the broad economic indicators of</w:t>
      </w:r>
      <w:r>
        <w:t xml:space="preserve"> </w:t>
      </w:r>
      <w:r>
        <w:rPr>
          <w:bCs/>
          <w:b/>
        </w:rPr>
        <w:t xml:space="preserve">Italy</w:t>
      </w:r>
      <w:r>
        <w:t xml:space="preserve">, including inflation rates, labor market participation in Lombardy, and interest rate trends set by the European Central Bank. Special attention is paid to how these national metrics specifically impact the commercial real estate and service sectors in</w:t>
      </w:r>
      <w:r>
        <w:t xml:space="preserve"> </w:t>
      </w:r>
      <w:r>
        <w:rPr>
          <w:bCs/>
          <w:b/>
        </w:rPr>
        <w:t xml:space="preserve">Milan</w:t>
      </w:r>
      <w:r>
        <w:t xml:space="preserve">.</w:t>
      </w:r>
    </w:p>
    <w:bookmarkEnd w:id="25"/>
    <w:bookmarkStart w:id="26" w:name="sector-specific-micro-analysis"/>
    <w:p>
      <w:pPr>
        <w:pStyle w:val="Heading3"/>
      </w:pPr>
      <w:r>
        <w:t xml:space="preserve">4.2 Sector-Specific Micro Analysis</w:t>
      </w:r>
    </w:p>
    <w:p>
      <w:pPr>
        <w:pStyle w:val="FirstParagraph"/>
      </w:pPr>
      <w:r>
        <w:t xml:space="preserve">The second phase involves a granular look at specific industries. For instance, in analyzing the automotive supply chain often linked to Milan’s industrial history, an</w:t>
      </w:r>
      <w:r>
        <w:t xml:space="preserve"> </w:t>
      </w:r>
      <w:r>
        <w:rPr>
          <w:iCs/>
          <w:i/>
        </w:rPr>
        <w:t xml:space="preserve">Economist</w:t>
      </w:r>
      <w:r>
        <w:t xml:space="preserve"> </w:t>
      </w:r>
      <w:r>
        <w:t xml:space="preserve">must consider recent EU emissions regulations and their impact on local manufacturing costs.</w:t>
      </w:r>
    </w:p>
    <w:bookmarkEnd w:id="26"/>
    <w:bookmarkStart w:id="27" w:name="competitive-landscape-mapping"/>
    <w:p>
      <w:pPr>
        <w:pStyle w:val="Heading3"/>
      </w:pPr>
      <w:r>
        <w:t xml:space="preserve">4.3 Competitive Landscape Mapping</w:t>
      </w:r>
    </w:p>
    <w:p>
      <w:pPr>
        <w:pStyle w:val="FirstParagraph"/>
      </w:pPr>
      <w:r>
        <w:t xml:space="preserve">We map the competitive environment of</w:t>
      </w:r>
      <w:r>
        <w:t xml:space="preserve"> </w:t>
      </w:r>
      <w:r>
        <w:rPr>
          <w:bCs/>
          <w:b/>
        </w:rPr>
        <w:t xml:space="preserve">Milan</w:t>
      </w:r>
      <w:r>
        <w:t xml:space="preserve">, identifying key players and market concentrations. This allows us to advise clients on pricing strategies, market share acquisition, and potential merger or acquisition opportunities based on robust economic valuation models.</w:t>
      </w:r>
    </w:p>
    <w:bookmarkEnd w:id="27"/>
    <w:bookmarkEnd w:id="28"/>
    <w:bookmarkStart w:id="31" w:name="challenges-and-mitigation-strategies"/>
    <w:p>
      <w:pPr>
        <w:pStyle w:val="Heading2"/>
      </w:pPr>
      <w:r>
        <w:t xml:space="preserve">5. Challenges and Mitigation Strategies</w:t>
      </w:r>
    </w:p>
    <w:p>
      <w:pPr>
        <w:pStyle w:val="FirstParagraph"/>
      </w:pPr>
      <w:r>
        <w:t xml:space="preserve">Operating as an</w:t>
      </w:r>
      <w:r>
        <w:t xml:space="preserve"> </w:t>
      </w:r>
      <w:r>
        <w:rPr>
          <w:bCs/>
          <w:b/>
        </w:rPr>
        <w:t xml:space="preserve">Economist</w:t>
      </w:r>
      <w:r>
        <w:t xml:space="preserve"> </w:t>
      </w:r>
      <w:r>
        <w:t xml:space="preserve">in</w:t>
      </w:r>
      <w:r>
        <w:t xml:space="preserve"> </w:t>
      </w:r>
      <w:r>
        <w:rPr>
          <w:bCs/>
          <w:b/>
        </w:rPr>
        <w:t xml:space="preserve">Milan</w:t>
      </w:r>
      <w:r>
        <w:t xml:space="preserve">, Italy, presents distinct challenges that must be addressed proactively.</w:t>
      </w:r>
    </w:p>
    <w:p>
      <w:pPr>
        <w:pStyle w:val="BodyText"/>
      </w:pPr>
      <w:r>
        <w:br/>
      </w:r>
      <w:r>
        <w:t xml:space="preserve">Challenge Area</w:t>
      </w:r>
      <w:r>
        <w:br/>
      </w:r>
    </w:p>
    <w:p>
      <w:pPr>
        <w:pStyle w:val="BodyText"/>
      </w:pPr>
      <w:r>
        <w:t xml:space="preserve">Description</w:t>
      </w:r>
      <w:r>
        <w:br/>
      </w:r>
    </w:p>
    <w:p>
      <w:pPr>
        <w:pStyle w:val="BodyText"/>
      </w:pPr>
      <w:r>
        <w:t xml:space="preserve">Economist Mitigation Strategy</w:t>
      </w:r>
      <w:r>
        <w:br/>
      </w:r>
    </w:p>
    <w:p>
      <w:pPr>
        <w:pStyle w:val="BodyText"/>
      </w:pPr>
      <w:r>
        <w:t xml:space="preserve">Bureaucratic Complexity</w:t>
      </w:r>
    </w:p>
    <w:p>
      <w:pPr>
        <w:pStyle w:val="BodyText"/>
      </w:pPr>
      <w:r>
        <w:t xml:space="preserve">Milan operates within the broader Italian administrative system, which can be slow and complex.</w:t>
      </w:r>
    </w:p>
    <w:p>
      <w:pPr>
        <w:pStyle w:val="BodyText"/>
      </w:pPr>
      <w:r>
        <w:t xml:space="preserve">Leverage local legal-economic partnerships to navigate permits and tax compliance efficiently.</w:t>
      </w:r>
    </w:p>
    <w:p>
      <w:pPr>
        <w:pStyle w:val="BodyText"/>
      </w:pPr>
      <w:r>
        <w:rPr>
          <w:bCs/>
          <w:b/>
        </w:rPr>
        <w:t xml:space="preserve">Economic Disparity</w:t>
      </w:r>
    </w:p>
    <w:p>
      <w:pPr>
        <w:pStyle w:val="BodyText"/>
      </w:pPr>
      <w:r>
        <w:t xml:space="preserve">A gap exists between the high-end service economy of Milan center and surrounding industrial areas.</w:t>
      </w:r>
    </w:p>
    <w:p>
      <w:pPr>
        <w:pStyle w:val="BodyText"/>
      </w:pPr>
      <w:r>
        <w:t xml:space="preserve">Economist Modeling uses segmented consumer income data to tailor market entry strategies appropriately.</w:t>
      </w:r>
      <w:r>
        <w:br/>
      </w:r>
    </w:p>
    <w:bookmarkStart w:id="29" w:name="cultural-nuances"/>
    <w:p>
      <w:pPr>
        <w:pStyle w:val="Heading3"/>
      </w:pPr>
      <w:r>
        <w:t xml:space="preserve">Cultural Nuances</w:t>
      </w:r>
    </w:p>
    <w:p>
      <w:pPr>
        <w:pStyle w:val="FirstParagraph"/>
      </w:pPr>
      <w:r>
        <w:t xml:space="preserve">This is a critical aspect often overlooked by non-local analysts. An</w:t>
      </w:r>
      <w:r>
        <w:t xml:space="preserve"> </w:t>
      </w:r>
      <w:r>
        <w:rPr>
          <w:iCs/>
          <w:i/>
        </w:rPr>
        <w:t xml:space="preserve">Economist</w:t>
      </w:r>
      <w:r>
        <w:t xml:space="preserve"> </w:t>
      </w:r>
      <w:r>
        <w:t xml:space="preserve">in Milan must understand the importance of personal relationships (partita IVA culture) in doing business.</w:t>
      </w:r>
    </w:p>
    <w:p>
      <w:pPr>
        <w:pStyle w:val="BodyText"/>
      </w:pPr>
      <w:r>
        <w:t xml:space="preserve">Incorporate qualitative market research alongside quantitative data to adjust negotiation strategies and partnership models.</w:t>
      </w:r>
      <w:r>
        <w:br/>
      </w:r>
    </w:p>
    <w:p>
      <w:pPr>
        <w:pStyle w:val="BodyText"/>
      </w:pPr>
      <w:r>
        <w:rPr>
          <w:bCs/>
          <w:b/>
        </w:rPr>
        <w:t xml:space="preserve">Economist</w:t>
      </w:r>
      <w:r>
        <w:t xml:space="preserve"> </w:t>
      </w:r>
      <w:r>
        <w:t xml:space="preserve">Report</w:t>
      </w:r>
      <w:r>
        <w:br/>
      </w:r>
      <w:r>
        <w:br/>
      </w:r>
      <w:r>
        <w:t xml:space="preserve">Italy Milan</w:t>
      </w:r>
      <w:r>
        <w:br/>
      </w:r>
    </w:p>
    <w:p>
      <w:pPr>
        <w:pStyle w:val="BodyText"/>
      </w:pPr>
      <w:r>
        <w:t xml:space="preserve">The following table summarizes the key performance indicators (KPIs) projected for the initial year of operation in</w:t>
      </w:r>
      <w:r>
        <w:t xml:space="preserve"> </w:t>
      </w:r>
      <w:r>
        <w:rPr>
          <w:bCs/>
          <w:b/>
        </w:rPr>
        <w:t xml:space="preserve">Milan</w:t>
      </w:r>
      <w:r>
        <w:t xml:space="preserve">.</w:t>
      </w:r>
    </w:p>
    <w:p>
      <w:pPr>
        <w:pStyle w:val="BodyText"/>
      </w:pPr>
      <w:r>
        <w:br/>
      </w:r>
      <w:r>
        <w:t xml:space="preserve">Metric</w:t>
      </w:r>
      <w:r>
        <w:br/>
      </w:r>
    </w:p>
    <w:p>
      <w:pPr>
        <w:pStyle w:val="BodyText"/>
      </w:pPr>
      <w:r>
        <w:t xml:space="preserve">Current Status (Year 0)</w:t>
      </w:r>
      <w:r>
        <w:br/>
      </w:r>
    </w:p>
    <w:p>
      <w:pPr>
        <w:pStyle w:val="BodyText"/>
      </w:pPr>
      <w:r>
        <w:t xml:space="preserve">Projected Outcome (Year 1)</w:t>
      </w:r>
      <w:r>
        <w:br/>
      </w:r>
    </w:p>
    <w:p>
      <w:pPr>
        <w:pStyle w:val="BodyText"/>
      </w:pPr>
      <w:r>
        <w:br/>
      </w:r>
    </w:p>
    <w:p>
      <w:pPr>
        <w:pStyle w:val="BodyText"/>
      </w:pPr>
      <w:r>
        <w:t xml:space="preserve">Milan Market Penetration Rate</w:t>
      </w:r>
      <w:r>
        <w:br/>
      </w:r>
      <w:r>
        <w:t xml:space="preserve">Italy National Average Growth</w:t>
      </w:r>
      <w:r>
        <w:br/>
      </w:r>
    </w:p>
    <w:p>
      <w:pPr>
        <w:pStyle w:val="BodyText"/>
      </w:pPr>
      <w:r>
        <w:t xml:space="preserve">N/A</w:t>
      </w:r>
    </w:p>
    <w:p>
      <w:pPr>
        <w:pStyle w:val="BodyText"/>
      </w:pPr>
      <w:r>
        <w:t xml:space="preserve">+2.5%</w:t>
      </w:r>
      <w:r>
        <w:rPr>
          <w:bCs/>
          <w:b/>
        </w:rPr>
        <w:t xml:space="preserve">Economist</w:t>
      </w:r>
      <w:r>
        <w:t xml:space="preserve"> </w:t>
      </w:r>
      <w:r>
        <w:t xml:space="preserve">Client Retention Rate</w:t>
      </w:r>
      <w:r>
        <w:br/>
      </w:r>
    </w:p>
    <w:p>
      <w:pPr>
        <w:pStyle w:val="BodyText"/>
      </w:pPr>
      <w:r>
        <w:br/>
      </w:r>
      <w:r>
        <w:t xml:space="preserve">Initial Setup Cost (EUR)</w:t>
      </w:r>
      <w:r>
        <w:br/>
      </w:r>
    </w:p>
    <w:bookmarkEnd w:id="29"/>
    <w:bookmarkStart w:id="30" w:name="section"/>
    <w:p>
      <w:pPr>
        <w:pStyle w:val="Heading3"/>
      </w:pPr>
      <w:r>
        <w:t xml:space="preserve">100%</w:t>
      </w:r>
    </w:p>
    <w:p>
      <w:r>
        <w:pict>
          <v:rect style="width:0;height:1.5pt" o:hralign="center" o:hrstd="t" o:hr="t"/>
        </w:pict>
      </w:r>
    </w:p>
    <w:bookmarkEnd w:id="30"/>
    <w:bookmarkEnd w:id="31"/>
    <w:bookmarkStart w:id="32" w:name="X4fcdfb958916b269e8e38f7f5248689625b9a0c"/>
    <w:p>
      <w:pPr>
        <w:pStyle w:val="Heading2"/>
      </w:pPr>
      <w:r>
        <w:rPr>
          <w:bCs/>
          <w:b/>
        </w:rPr>
        <w:t xml:space="preserve">Economist</w:t>
      </w:r>
      <w:r>
        <w:t xml:space="preserve">: Strategic Outlook for Future Growth in</w:t>
      </w:r>
      <w:r>
        <w:t xml:space="preserve"> </w:t>
      </w:r>
      <w:r>
        <w:rPr>
          <w:bCs/>
          <w:b/>
        </w:rPr>
        <w:t xml:space="preserve">Milan</w:t>
      </w:r>
      <w:r>
        <w:t xml:space="preserve">, Italy</w:t>
      </w:r>
    </w:p>
    <w:p>
      <w:pPr>
        <w:pStyle w:val="FirstParagraph"/>
      </w:pPr>
      <w:r>
        <w:t xml:space="preserve">The trajectory for economic consultancy in</w:t>
      </w:r>
      <w:r>
        <w:t xml:space="preserve"> </w:t>
      </w:r>
      <w:r>
        <w:rPr>
          <w:bCs/>
          <w:b/>
        </w:rPr>
        <w:t xml:space="preserve">Milan</w:t>
      </w:r>
      <w:r>
        <w:t xml:space="preserve"> </w:t>
      </w:r>
      <w:r>
        <w:t xml:space="preserve">is positive, driven by the city’s resilience and its status as a gateway to European markets. As an</w:t>
      </w:r>
      <w:r>
        <w:t xml:space="preserve"> </w:t>
      </w:r>
      <w:r>
        <w:rPr>
          <w:iCs/>
          <w:i/>
        </w:rPr>
        <w:t xml:space="preserve">Economist</w:t>
      </w:r>
      <w:r>
        <w:t xml:space="preserve">, my analysis suggests that the next five years will see a surge in demand for sustainable economic modeling. Companies operating in Italy are under increasing pressure to adhere to ESG (Environmental, Social, and Governance) criteria.</w:t>
      </w:r>
    </w:p>
    <w:p>
      <w:pPr>
        <w:pStyle w:val="BodyText"/>
      </w:pPr>
      <w:r>
        <w:t xml:space="preserve">Our Project Report emphasizes that</w:t>
      </w:r>
      <w:r>
        <w:t xml:space="preserve"> </w:t>
      </w:r>
      <w:r>
        <w:rPr>
          <w:bCs/>
          <w:b/>
        </w:rPr>
        <w:t xml:space="preserve">Milan</w:t>
      </w:r>
      <w:r>
        <w:t xml:space="preserve"> </w:t>
      </w:r>
      <w:r>
        <w:t xml:space="preserve">is uniquely positioned to lead this charge due to its strong financial infrastructure. By integrating these sustainability metrics into our</w:t>
      </w:r>
      <w:r>
        <w:t xml:space="preserve"> </w:t>
      </w:r>
      <w:r>
        <w:rPr>
          <w:iCs/>
          <w:i/>
        </w:rPr>
        <w:t xml:space="preserve">Economist</w:t>
      </w:r>
      <w:r>
        <w:t xml:space="preserve"> </w:t>
      </w:r>
      <w:r>
        <w:t xml:space="preserve">reports, we provide clients with a competitive advantage not just in profitability, but in regulatory compliance and brand reputation.</w:t>
      </w:r>
    </w:p>
    <w:p>
      <w:pPr>
        <w:pStyle w:val="BodyText"/>
      </w:pPr>
      <w:r>
        <w:br/>
      </w:r>
      <w:r>
        <w:br/>
      </w:r>
      <w:r>
        <w:t xml:space="preserve">Conclusion</w:t>
      </w:r>
      <w:r>
        <w:br/>
      </w:r>
    </w:p>
    <w:p>
      <w:pPr>
        <w:pStyle w:val="BodyText"/>
      </w:pPr>
      <w:r>
        <w:t xml:space="preserve">This Project Report has detailed the critical role of the</w:t>
      </w:r>
      <w:r>
        <w:t xml:space="preserve"> </w:t>
      </w:r>
      <w:r>
        <w:rPr>
          <w:bCs/>
          <w:b/>
        </w:rPr>
        <w:t xml:space="preserve">Economist</w:t>
      </w:r>
      <w:r>
        <w:t xml:space="preserve"> </w:t>
      </w:r>
      <w:r>
        <w:t xml:space="preserve">in navigating the complexities of the</w:t>
      </w:r>
      <w:r>
        <w:t xml:space="preserve"> </w:t>
      </w:r>
      <w:r>
        <w:rPr>
          <w:bCs/>
          <w:b/>
        </w:rPr>
        <w:t xml:space="preserve">Milan</w:t>
      </w:r>
      <w:r>
        <w:t xml:space="preserve">, Italy market. By combining rigorous quantitative analysis with deep qualitative understanding of local business culture, we offer a comprehensive service that mitigates risk and enhances opportunity.</w:t>
      </w:r>
    </w:p>
    <w:p>
      <w:pPr>
        <w:pStyle w:val="BodyText"/>
      </w:pPr>
      <w:r>
        <w:t xml:space="preserve">The integration of our services into client operations in Italy requires a tailored approach. This report confirms that our methodology is robust, relevant, and ready for deployment in one of Europe’s most vital economic centers. We remain committed to providing top-tier economic intelligence for all stakeholders involved in this initiative.</w:t>
      </w:r>
    </w:p>
    <w:p>
      <w:pPr>
        <w:pStyle w:val="BodyText"/>
      </w:pPr>
      <w:r>
        <w:rPr>
          <w:bCs/>
          <w:b/>
        </w:rPr>
        <w:t xml:space="preserve">End of Document</w:t>
      </w:r>
    </w:p>
    <w:p>
      <w:pPr>
        <w:pStyle w:val="BodyText"/>
      </w:pPr>
      <w:r>
        <w:br/>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Project Report: Italy Milan</dc:title>
  <dc:creator/>
  <dc:language>en</dc:language>
  <cp:keywords/>
  <dcterms:created xsi:type="dcterms:W3CDTF">2026-07-29T12:29:24Z</dcterms:created>
  <dcterms:modified xsi:type="dcterms:W3CDTF">2026-07-29T12:29:24Z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