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Economist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9"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Board</w:t>
      </w:r>
    </w:p>
    <w:p>
      <w:pPr>
        <w:pStyle w:val="BodyText"/>
      </w:pPr>
      <w:r>
        <w:t xml:space="preserve">&gt; Editorial Strategy Unit</w:t>
      </w:r>
    </w:p>
    <w:p>
      <w:pPr>
        <w:pStyle w:val="BodyText"/>
      </w:pPr>
      <w:r>
        <w:t xml:space="preserve">&gt;</w:t>
      </w:r>
    </w:p>
    <w:p>
      <w:pPr>
        <w:pStyle w:val="BodyText"/>
      </w:pPr>
      <w:r>
        <w:t xml:space="preserve">P&gt;&gt;</w:t>
      </w:r>
    </w:p>
    <w:bookmarkStart w:id="20" w:name="executive-summary"/>
    <w:p>
      <w:pPr>
        <w:pStyle w:val="Heading2"/>
      </w:pPr>
      <w:r>
        <w:t xml:space="preserve">1. Executive Summary</w:t>
      </w:r>
    </w:p>
    <w:p>
      <w:pPr>
        <w:pStyle w:val="FirstParagraph"/>
      </w:pPr>
      <w:r>
        <w:t xml:space="preserve">This Project Report outlines the comprehensive strategy for adapting and deploying</w:t>
      </w:r>
      <w:r>
        <w:t xml:space="preserve"> </w:t>
      </w:r>
      <w:r>
        <w:rPr>
          <w:iCs/>
          <w:i/>
        </w:rPr>
        <w:t xml:space="preserve">The Economist’s</w:t>
      </w:r>
      <w:r>
        <w:t xml:space="preserve"> </w:t>
      </w:r>
      <w:r>
        <w:t xml:space="preserve">editorial standards, analytical rigor, and global perspective specifically within the unique geopolitical and economic landscape of Moscow, Russia. As a leading international publication known for its centrist liberal views and rigorous fact-based reporting,</w:t>
      </w:r>
      <w:r>
        <w:t xml:space="preserve"> </w:t>
      </w:r>
      <w:r>
        <w:rPr>
          <w:bCs/>
          <w:b/>
        </w:rPr>
        <w:t xml:space="preserve">Economist</w:t>
      </w:r>
      <w:r>
        <w:t xml:space="preserve"> </w:t>
      </w:r>
      <w:r>
        <w:t xml:space="preserve">principles must be carefully contextualized to serve the diverse needs of investors, policymakers in</w:t>
      </w:r>
      <w:r>
        <w:t xml:space="preserve"> </w:t>
      </w:r>
      <w:r>
        <w:rPr>
          <w:bCs/>
          <w:b/>
        </w:rPr>
        <w:t xml:space="preserve">Russia Moscow</w:t>
      </w:r>
      <w:r>
        <w:t xml:space="preserve">, and an intellectually curious local populace. This document details the challenges, opportunities, and operational frameworks required to establish a robust presence that respects local nuances while maintaining global integrity.</w:t>
      </w:r>
    </w:p>
    <w:bookmarkEnd w:id="20"/>
    <w:bookmarkStart w:id="21" w:name="introduction"/>
    <w:p>
      <w:pPr>
        <w:pStyle w:val="Heading2"/>
      </w:pPr>
      <w:r>
        <w:t xml:space="preserve">2. Introduction</w:t>
      </w:r>
    </w:p>
    <w:p>
      <w:pPr>
        <w:pStyle w:val="FirstParagraph"/>
      </w:pPr>
      <w:r>
        <w:t xml:space="preserve">In recent years, Moscow has emerged as a critical hub for financial activity in Eastern Europe despite ongoing geopolitical complexities. The demand for high-quality, unbiased economic analysis in</w:t>
      </w:r>
      <w:r>
        <w:t xml:space="preserve"> </w:t>
      </w:r>
      <w:r>
        <w:rPr>
          <w:bCs/>
          <w:b/>
        </w:rPr>
        <w:t xml:space="preserve">Russia Moscow</w:t>
      </w:r>
      <w:r>
        <w:t xml:space="preserve"> </w:t>
      </w:r>
      <w:r>
        <w:t xml:space="preserve">remains high among multinational corporations operating in the region and local entities seeking global market insights.</w:t>
      </w:r>
      <w:r>
        <w:t xml:space="preserve"> </w:t>
      </w:r>
      <w:r>
        <w:rPr>
          <w:iCs/>
          <w:i/>
        </w:rPr>
        <w:t xml:space="preserve">The Economist</w:t>
      </w:r>
      <w:r>
        <w:t xml:space="preserve">, with its reputation for concise, witty, and data-driven journalism, offers a unique value proposition. This project aims to bridge the gap between Western economic discourse and Russian market realities by tailoring our content delivery mechanisms in</w:t>
      </w:r>
      <w:r>
        <w:t xml:space="preserve"> </w:t>
      </w:r>
      <w:r>
        <w:rPr>
          <w:bCs/>
          <w:b/>
        </w:rPr>
        <w:t xml:space="preserve">Russia Moscow</w:t>
      </w:r>
      <w:r>
        <w:t xml:space="preserve"> </w:t>
      </w:r>
      <w:r>
        <w:t xml:space="preserve">without compromising the core identity of the</w:t>
      </w:r>
      <w:r>
        <w:t xml:space="preserve"> </w:t>
      </w:r>
      <w:r>
        <w:rPr>
          <w:bCs/>
          <w:b/>
        </w:rPr>
        <w:t xml:space="preserve">Economist</w:t>
      </w:r>
    </w:p>
    <w:p>
      <w:pPr>
        <w:pStyle w:val="BodyText"/>
      </w:pPr>
      <w:r>
        <w:t xml:space="preserve">&gt;</w:t>
      </w:r>
      <w:r>
        <w:t xml:space="preserve"> </w:t>
      </w:r>
      <w:r>
        <w:t xml:space="preserve">The primary objective is to enhance accessibility for readers in Moscow, ensuring they receive timely analysis on global trade, energy markets, and technological trends that directly impact their local economy. By focusing on</w:t>
      </w:r>
      <w:r>
        <w:t xml:space="preserve"> </w:t>
      </w:r>
      <w:r>
        <w:rPr>
          <w:iCs/>
          <w:i/>
        </w:rPr>
        <w:t xml:space="preserve">The Economist’s</w:t>
      </w:r>
      <w:r>
        <w:t xml:space="preserve"> </w:t>
      </w:r>
      <w:r>
        <w:t xml:space="preserve">hallmark style—clear prose, strong arguments backed by evidence—we aim to foster a deeper understanding of complex economic phenomena among our audience in</w:t>
      </w:r>
      <w:r>
        <w:t xml:space="preserve"> </w:t>
      </w:r>
      <w:r>
        <w:rPr>
          <w:bCs/>
          <w:b/>
        </w:rPr>
        <w:t xml:space="preserve">Russia Moscow</w:t>
      </w:r>
      <w:r>
        <w:t xml:space="preserve">.</w:t>
      </w:r>
    </w:p>
    <w:bookmarkEnd w:id="21"/>
    <w:bookmarkStart w:id="22" w:name="Xcb962f4372f6cc58e4d7221c60eef11deec2a58"/>
    <w:p>
      <w:pPr>
        <w:pStyle w:val="Heading2"/>
      </w:pPr>
      <w:r>
        <w:t xml:space="preserve">3. Market Analysis: The Context of Russia Moscow</w:t>
      </w:r>
    </w:p>
    <w:p>
      <w:pPr>
        <w:pStyle w:val="FirstParagraph"/>
      </w:pPr>
      <w:r>
        <w:t xml:space="preserve">Understanding the specific environment of</w:t>
      </w:r>
      <w:r>
        <w:t xml:space="preserve"> </w:t>
      </w:r>
      <w:r>
        <w:rPr>
          <w:bCs/>
          <w:b/>
        </w:rPr>
        <w:t xml:space="preserve">Russia Moscow</w:t>
      </w:r>
      <w:r>
        <w:t xml:space="preserve"> </w:t>
      </w:r>
      <w:r>
        <w:t xml:space="preserve">is crucial for effective implementation. While global sanctions and political tensions have reshaped international relations, the intellectual appetite for economic literacy in Moscow persists. Local universities, business schools, and corporate boards continue to seek reliable sources of information that go beyond state-sponsored media narratives.</w:t>
      </w:r>
      <w:r>
        <w:t xml:space="preserve"> </w:t>
      </w:r>
      <w:r>
        <w:t xml:space="preserve">However, operating in</w:t>
      </w:r>
      <w:r>
        <w:t xml:space="preserve"> </w:t>
      </w:r>
      <w:r>
        <w:rPr>
          <w:bCs/>
          <w:b/>
        </w:rPr>
        <w:t xml:space="preserve">Russia Moscow</w:t>
      </w:r>
      <w:r>
        <w:t xml:space="preserve"> </w:t>
      </w:r>
      <w:r>
        <w:t xml:space="preserve">presents significant challenges:</w:t>
      </w:r>
    </w:p>
    <w:p>
      <w:pPr>
        <w:numPr>
          <w:ilvl w:val="0"/>
          <w:numId w:val="1001"/>
        </w:numPr>
        <w:pStyle w:val="Compact"/>
      </w:pPr>
      <w:r>
        <w:rPr>
          <w:bCs/>
          <w:b/>
        </w:rPr>
        <w:t xml:space="preserve">Regulatory Environment:</w:t>
      </w:r>
    </w:p>
    <w:p>
      <w:pPr>
        <w:numPr>
          <w:ilvl w:val="0"/>
          <w:numId w:val="1000"/>
        </w:numPr>
        <w:pStyle w:val="Compact"/>
      </w:pPr>
      <w:r>
        <w:t xml:space="preserve">&gt; Strict regulations on foreign media require careful navigation to ensure compliance while maintaining editorial independence.</w:t>
      </w:r>
    </w:p>
    <w:p>
      <w:pPr>
        <w:numPr>
          <w:ilvl w:val="0"/>
          <w:numId w:val="1001"/>
        </w:numPr>
        <w:pStyle w:val="Compact"/>
      </w:pPr>
      <w:r>
        <w:rPr>
          <w:bCs/>
          <w:b/>
        </w:rPr>
        <w:t xml:space="preserve">Cultural Nuances:</w:t>
      </w:r>
    </w:p>
    <w:p>
      <w:pPr>
        <w:numPr>
          <w:ilvl w:val="0"/>
          <w:numId w:val="1000"/>
        </w:numPr>
        <w:pStyle w:val="Compact"/>
      </w:pPr>
      <w:r>
        <w:t xml:space="preserve">&gt; Russian readers appreciate depth and historical context, which aligns well with The Economist’s approach but requires sensitivity to local historical references.</w:t>
      </w:r>
    </w:p>
    <w:p>
      <w:pPr>
        <w:numPr>
          <w:ilvl w:val="0"/>
          <w:numId w:val="1001"/>
        </w:numPr>
        <w:pStyle w:val="Compact"/>
      </w:pPr>
      <w:r>
        <w:rPr>
          <w:bCs/>
          <w:b/>
        </w:rPr>
        <w:t xml:space="preserve">Digital Access:</w:t>
      </w:r>
    </w:p>
    <w:p>
      <w:pPr>
        <w:numPr>
          <w:ilvl w:val="0"/>
          <w:numId w:val="1000"/>
        </w:numPr>
        <w:pStyle w:val="Compact"/>
      </w:pPr>
      <w:r>
        <w:t xml:space="preserve">&gt; Internet infrastructure in Moscow is advanced, providing ample opportunities for digital subscription models and online engagement platforms tailored to the needs of professionals in</w:t>
      </w:r>
      <w:r>
        <w:t xml:space="preserve"> </w:t>
      </w:r>
      <w:r>
        <w:rPr>
          <w:bCs/>
          <w:b/>
        </w:rPr>
        <w:t xml:space="preserve">Russia Moscow</w:t>
      </w:r>
      <w:r>
        <w:t xml:space="preserve">.</w:t>
      </w:r>
    </w:p>
    <w:bookmarkEnd w:id="22"/>
    <w:bookmarkStart w:id="25" w:name="strategic-implementation-plan"/>
    <w:p>
      <w:pPr>
        <w:pStyle w:val="Heading2"/>
      </w:pPr>
      <w:r>
        <w:t xml:space="preserve">4. Strategic Implementation Plan</w:t>
      </w:r>
    </w:p>
    <w:p>
      <w:pPr>
        <w:pStyle w:val="FirstParagraph"/>
      </w:pPr>
      <w:r>
        <w:t xml:space="preserve">To successfully integrate</w:t>
      </w:r>
      <w:r>
        <w:t xml:space="preserve"> </w:t>
      </w:r>
      <w:r>
        <w:rPr>
          <w:iCs/>
          <w:i/>
        </w:rPr>
        <w:t xml:space="preserve">The Economist’s</w:t>
      </w:r>
      <w:r>
        <w:t xml:space="preserve"> </w:t>
      </w:r>
      <w:r>
        <w:t xml:space="preserve">brand into the Moscow market, we propose a multi-faceted strategy:</w:t>
      </w:r>
    </w:p>
    <w:bookmarkStart w:id="23" w:name="content-localization-and-adaptation"/>
    <w:p>
      <w:pPr>
        <w:pStyle w:val="Heading3"/>
      </w:pPr>
      <w:r>
        <w:t xml:space="preserve">4.1 Content Localization and Adaptation</w:t>
      </w:r>
    </w:p>
    <w:p>
      <w:pPr>
        <w:pStyle w:val="FirstParagraph"/>
      </w:pPr>
      <w:r>
        <w:t xml:space="preserve">While maintaining the integrity of global reporting, specific sections will focus on Central Eurasian markets. Articles analyzing oil prices, geopolitical shifts in Europe-Asia trade routes, and technological advancements in Russia will be prioritized. This ensures relevance for readers in</w:t>
      </w:r>
      <w:r>
        <w:t xml:space="preserve"> </w:t>
      </w:r>
      <w:r>
        <w:rPr>
          <w:bCs/>
          <w:b/>
        </w:rPr>
        <w:t xml:space="preserve">Russia Moscow</w:t>
      </w:r>
      <w:r>
        <w:t xml:space="preserve">. The tone must remain analytical yet accessible, adhering to the concise style that defines</w:t>
      </w:r>
      <w:r>
        <w:t xml:space="preserve"> </w:t>
      </w:r>
      <w:r>
        <w:rPr>
          <w:iCs/>
          <w:i/>
        </w:rPr>
        <w:t xml:space="preserve">The Economist</w:t>
      </w:r>
      <w:r>
        <w:t xml:space="preserve">.</w:t>
      </w:r>
    </w:p>
    <w:bookmarkEnd w:id="23"/>
    <w:bookmarkStart w:id="24" w:name="digital-engagement-platform"/>
    <w:p>
      <w:pPr>
        <w:pStyle w:val="Heading3"/>
      </w:pPr>
      <w:r>
        <w:t xml:space="preserve">4.2 Digital Engagement Platform</w:t>
      </w:r>
    </w:p>
    <w:p>
      <w:pPr>
        <w:pStyle w:val="FirstParagraph"/>
      </w:pPr>
      <w:r>
        <w:t xml:space="preserve">Developing a dedicated portal for users in</w:t>
      </w:r>
      <w:r>
        <w:t xml:space="preserve"> </w:t>
      </w:r>
      <w:r>
        <w:rPr>
          <w:bCs/>
          <w:b/>
        </w:rPr>
        <w:t xml:space="preserve">Russia Moscow</w:t>
      </w:r>
      <w:r>
        <w:t xml:space="preserve"> </w:t>
      </w:r>
      <w:r>
        <w:t xml:space="preserve">will allow personalized content delivery. Features include real-time updates on economic indicators, interactive data visualizations, and exclusive webinars featuring global economists discussing trends affecting Moscow. Security and privacy measures will be enhanced to protect user data in line with local laws.</w:t>
      </w:r>
    </w:p>
    <w:p>
      <w:pPr>
        <w:pStyle w:val="BodyText"/>
      </w:pPr>
      <w:r>
        <w:t xml:space="preserve">4.3 Partnerships with Local Institutions</w:t>
      </w:r>
    </w:p>
    <w:p>
      <w:pPr>
        <w:pStyle w:val="BodyText"/>
      </w:pPr>
      <w:r>
        <w:t xml:space="preserve">&gt;</w:t>
      </w:r>
      <w:r>
        <w:t xml:space="preserve"> </w:t>
      </w:r>
      <w:r>
        <w:t xml:space="preserve">Collaborating with universities such as the Higher School of Economics and business associations in</w:t>
      </w:r>
      <w:r>
        <w:t xml:space="preserve"> </w:t>
      </w:r>
      <w:r>
        <w:rPr>
          <w:bCs/>
          <w:b/>
        </w:rPr>
        <w:t xml:space="preserve">Russia Moscow</w:t>
      </w:r>
      <w:r>
        <w:t xml:space="preserve"> </w:t>
      </w:r>
      <w:r>
        <w:t xml:space="preserve">will facilitate knowledge exchange programs. Workshops and seminars led by</w:t>
      </w:r>
      <w:r>
        <w:t xml:space="preserve"> </w:t>
      </w:r>
      <w:r>
        <w:rPr>
          <w:iCs/>
          <w:i/>
        </w:rPr>
        <w:t xml:space="preserve">The Economist’s</w:t>
      </w:r>
      <w:r>
        <w:t xml:space="preserve"> </w:t>
      </w:r>
      <w:r>
        <w:t xml:space="preserve">journalists can provide valuable insights into global economic trends, fostering a community of informed citizens and leaders.</w:t>
      </w:r>
    </w:p>
    <w:bookmarkEnd w:id="24"/>
    <w:bookmarkEnd w:id="25"/>
    <w:bookmarkStart w:id="26" w:name="challenges-and-mitigation-strategies"/>
    <w:p>
      <w:pPr>
        <w:pStyle w:val="Heading2"/>
      </w:pPr>
      <w:r>
        <w:t xml:space="preserve">5. Challenges and Mitigation Strategies</w:t>
      </w:r>
    </w:p>
    <w:p>
      <w:pPr>
        <w:pStyle w:val="FirstParagraph"/>
      </w:pPr>
      <w:r>
        <w:t xml:space="preserve">Operating in</w:t>
      </w:r>
      <w:r>
        <w:t xml:space="preserve"> </w:t>
      </w:r>
      <w:r>
        <w:rPr>
          <w:bCs/>
          <w:b/>
        </w:rPr>
        <w:t xml:space="preserve">Russia Moscow</w:t>
      </w:r>
      <w:r>
        <w:t xml:space="preserve"> </w:t>
      </w:r>
      <w:r>
        <w:t xml:space="preserve">involves navigating complex regulatory landscapes. To mitigate risks associated with censorship or legal hurdles, we will employ local legal experts familiar with Russian media laws. Additionally, maintaining transparency about our editorial standards while respecting local sensitivities is key to building trust among audiences in</w:t>
      </w:r>
      <w:r>
        <w:t xml:space="preserve"> </w:t>
      </w:r>
      <w:r>
        <w:rPr>
          <w:bCs/>
          <w:b/>
        </w:rPr>
        <w:t xml:space="preserve">Russia Moscow</w:t>
      </w:r>
      <w:r>
        <w:t xml:space="preserve">.</w:t>
      </w:r>
      <w:r>
        <w:t xml:space="preserve"> </w:t>
      </w:r>
      <w:r>
        <w:t xml:space="preserve">Another challenge is the perception of bias due to geopolitical tensions. By focusing on data-driven analysis and avoiding politically charged language where possible, we aim to present a balanced view that appeals to rational decision-makers interested in economic facts rather than ideological debates. This approach reinforces the credibility of</w:t>
      </w:r>
      <w:r>
        <w:t xml:space="preserve"> </w:t>
      </w:r>
      <w:r>
        <w:rPr>
          <w:iCs/>
          <w:i/>
        </w:rPr>
        <w:t xml:space="preserve">The Economist</w:t>
      </w:r>
      <w:r>
        <w:t xml:space="preserve"> </w:t>
      </w:r>
      <w:r>
        <w:t xml:space="preserve">as a neutral arbiter of truth in an increasingly polarized world.</w:t>
      </w:r>
    </w:p>
    <w:p>
      <w:pPr>
        <w:pStyle w:val="BodyText"/>
      </w:pPr>
      <w:r>
        <w:t xml:space="preserve">&gt;</w:t>
      </w:r>
    </w:p>
    <w:bookmarkEnd w:id="26"/>
    <w:bookmarkStart w:id="27" w:name="expected-outcomes-and-benefits"/>
    <w:p>
      <w:pPr>
        <w:pStyle w:val="Heading2"/>
      </w:pPr>
      <w:r>
        <w:t xml:space="preserve">6. Expected Outcomes and Benefits</w:t>
      </w:r>
    </w:p>
    <w:p>
      <w:pPr>
        <w:pStyle w:val="FirstParagraph"/>
      </w:pPr>
      <w:r>
        <w:t xml:space="preserve">Successful implementation of this project will yield several benefits:</w:t>
      </w:r>
    </w:p>
    <w:p>
      <w:pPr>
        <w:numPr>
          <w:ilvl w:val="0"/>
          <w:numId w:val="1002"/>
        </w:numPr>
        <w:pStyle w:val="Compact"/>
      </w:pPr>
      <w:r>
        <w:rPr>
          <w:bCs/>
          <w:b/>
        </w:rPr>
        <w:t xml:space="preserve">Enhanced Brand Reputation:</w:t>
      </w:r>
    </w:p>
    <w:p>
      <w:pPr>
        <w:numPr>
          <w:ilvl w:val="0"/>
          <w:numId w:val="1000"/>
        </w:numPr>
        <w:pStyle w:val="Compact"/>
      </w:pPr>
      <w:r>
        <w:t xml:space="preserve">&gt; Establishing a strong presence in</w:t>
      </w:r>
      <w:r>
        <w:t xml:space="preserve"> </w:t>
      </w:r>
      <w:r>
        <w:rPr>
          <w:bCs/>
          <w:b/>
        </w:rPr>
        <w:t xml:space="preserve">Russia Moscow</w:t>
      </w:r>
      <w:r>
        <w:t xml:space="preserve"> </w:t>
      </w:r>
      <w:r>
        <w:t xml:space="preserve">will reinforce The Economist’s status as a go-to source for reliable economic analysis globally.</w:t>
      </w:r>
    </w:p>
    <w:p>
      <w:pPr>
        <w:numPr>
          <w:ilvl w:val="0"/>
          <w:numId w:val="1002"/>
        </w:numPr>
        <w:pStyle w:val="Compact"/>
      </w:pPr>
      <w:r>
        <w:rPr>
          <w:bCs/>
          <w:b/>
        </w:rPr>
        <w:t xml:space="preserve">Growth in Subscription Base:</w:t>
      </w:r>
    </w:p>
    <w:p>
      <w:pPr>
        <w:numPr>
          <w:ilvl w:val="0"/>
          <w:numId w:val="1000"/>
        </w:numPr>
        <w:pStyle w:val="Compact"/>
      </w:pPr>
      <w:r>
        <w:t xml:space="preserve">&gt; Targeted marketing efforts aimed at professionals and academics in Moscow are expected to drive significant increases in digital subscriptions.</w:t>
      </w:r>
    </w:p>
    <w:p>
      <w:pPr>
        <w:numPr>
          <w:ilvl w:val="0"/>
          <w:numId w:val="1002"/>
        </w:numPr>
        <w:pStyle w:val="Compact"/>
      </w:pPr>
      <w:r>
        <w:rPr>
          <w:bCs/>
          <w:b/>
        </w:rPr>
        <w:t xml:space="preserve">Intellectual Contribution:</w:t>
      </w:r>
    </w:p>
    <w:p>
      <w:pPr>
        <w:numPr>
          <w:ilvl w:val="0"/>
          <w:numId w:val="1000"/>
        </w:numPr>
        <w:pStyle w:val="Compact"/>
      </w:pPr>
      <w:r>
        <w:t xml:space="preserve">&gt; By providing high-quality content, we contribute to informed public discourse on economic issues affecting both local communities and international relations involving</w:t>
      </w:r>
      <w:r>
        <w:t xml:space="preserve"> </w:t>
      </w:r>
      <w:r>
        <w:rPr>
          <w:bCs/>
          <w:b/>
        </w:rPr>
        <w:t xml:space="preserve">Russia Moscow</w:t>
      </w:r>
      <w:r>
        <w:t xml:space="preserve">.</w:t>
      </w:r>
    </w:p>
    <w:bookmarkEnd w:id="27"/>
    <w:bookmarkStart w:id="28" w:name="conclusion"/>
    <w:p>
      <w:pPr>
        <w:pStyle w:val="Heading2"/>
      </w:pPr>
      <w:r>
        <w:t xml:space="preserve">7. Conclusion</w:t>
      </w:r>
    </w:p>
    <w:p>
      <w:pPr>
        <w:pStyle w:val="FirstParagraph"/>
      </w:pPr>
      <w:r>
        <w:t xml:space="preserve">The integration of</w:t>
      </w:r>
      <w:r>
        <w:t xml:space="preserve"> </w:t>
      </w:r>
      <w:r>
        <w:rPr>
          <w:iCs/>
          <w:i/>
        </w:rPr>
        <w:t xml:space="preserve">The Economist’s</w:t>
      </w:r>
      <w:r>
        <w:t xml:space="preserve"> </w:t>
      </w:r>
      <w:r>
        <w:t xml:space="preserve">rigorous analytical framework into the dynamic environment of</w:t>
      </w:r>
      <w:r>
        <w:t xml:space="preserve"> </w:t>
      </w:r>
      <w:r>
        <w:rPr>
          <w:bCs/>
          <w:b/>
        </w:rPr>
        <w:t xml:space="preserve">Russia Moscow</w:t>
      </w:r>
      <w:r>
        <w:t xml:space="preserve"> </w:t>
      </w:r>
      <w:r>
        <w:t xml:space="preserve">represents a significant opportunity to expand our influence and serve a vital audience. By addressing local needs through tailored content, digital innovation, and strategic partnerships, we can uphold our mission of delivering insightful commentary on global affairs while respecting the unique context of Moscow’s economic landscape. This Project Report serves as a foundational document guiding future initiatives aimed at strengthening our presence in</w:t>
      </w:r>
      <w:r>
        <w:t xml:space="preserve"> </w:t>
      </w:r>
      <w:r>
        <w:rPr>
          <w:bCs/>
          <w:b/>
        </w:rPr>
        <w:t xml:space="preserve">Russia Moscow</w:t>
      </w:r>
      <w:r>
        <w:t xml:space="preserve"> </w:t>
      </w:r>
      <w:r>
        <w:t xml:space="preserve">and beyond.</w:t>
      </w:r>
      <w:r>
        <w:t xml:space="preserve"> </w:t>
      </w:r>
      <w:r>
        <w:t xml:space="preserve">As we move forward, continuous monitoring of market dynamics and feedback from readers in</w:t>
      </w:r>
      <w:r>
        <w:t xml:space="preserve"> </w:t>
      </w:r>
      <w:r>
        <w:rPr>
          <w:bCs/>
          <w:b/>
        </w:rPr>
        <w:t xml:space="preserve">Russia Moscow</w:t>
      </w:r>
      <w:r>
        <w:t xml:space="preserve"> </w:t>
      </w:r>
      <w:r>
        <w:t xml:space="preserve">will inform ongoing adjustments to our strategy, ensuring long-term success for</w:t>
      </w:r>
      <w:r>
        <w:t xml:space="preserve"> </w:t>
      </w:r>
      <w:r>
        <w:rPr>
          <w:iCs/>
          <w:i/>
        </w:rPr>
        <w:t xml:space="preserve">The Economist</w:t>
      </w:r>
      <w:r>
        <w:t xml:space="preserve"> </w:t>
      </w:r>
      <w:r>
        <w:t xml:space="preserve">in this critical region.</w:t>
      </w:r>
      <w:r>
        <w:t xml:space="preserve"> </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Economist in Russia Moscow</dc:title>
  <dc:creator/>
  <dc:language>en</dc:language>
  <cp:keywords/>
  <dcterms:created xsi:type="dcterms:W3CDTF">2026-07-29T18:04:03Z</dcterms:created>
  <dcterms:modified xsi:type="dcterms:W3CDTF">2026-07-29T18:04:03Z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