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China</w:t>
      </w:r>
      <w:r>
        <w:t xml:space="preserve"> </w:t>
      </w:r>
      <w:r>
        <w:t xml:space="preserve">Guangzhou</w:t>
      </w:r>
    </w:p>
    <w:bookmarkStart w:id="31" w:name="Xd0c26f2a363d26681f7607fa75c6b2e02316686"/>
    <w:p>
      <w:pPr>
        <w:pStyle w:val="Heading1"/>
      </w:pPr>
      <w:r>
        <w:t xml:space="preserve">Project Report: Strategic Implementation of a Next-Generation Content Editor for Operations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Digital Transformation Office</w:t>
      </w:r>
      <w:r>
        <w:br/>
      </w:r>
    </w:p>
    <w:bookmarkStart w:id="20" w:name="executive-summary"/>
    <w:p>
      <w:pPr>
        <w:pStyle w:val="Heading2"/>
      </w:pPr>
      <w:r>
        <w:t xml:space="preserve">1. Executive Summary</w:t>
      </w:r>
    </w:p>
    <w:p>
      <w:pPr>
        <w:pStyle w:val="FirstParagraph"/>
      </w:pPr>
      <w:r>
        <w:t xml:space="preserve">This report outlines the strategic necessity, technical architecture, and operational impact of deploying a specialized high-performance content</w:t>
      </w:r>
      <w:r>
        <w:t xml:space="preserve"> </w:t>
      </w:r>
      <w:r>
        <w:rPr>
          <w:bCs/>
          <w:b/>
        </w:rPr>
        <w:t xml:space="preserve">Editor</w:t>
      </w:r>
    </w:p>
    <w:bookmarkEnd w:id="20"/>
    <w:bookmarkStart w:id="21" w:name="background-and-context"/>
    <w:p>
      <w:pPr>
        <w:pStyle w:val="Heading2"/>
      </w:pPr>
      <w:r>
        <w:t xml:space="preserve">2. Background and Context</w:t>
      </w:r>
    </w:p>
    <w:p>
      <w:pPr>
        <w:pStyle w:val="FirstParagraph"/>
      </w:pPr>
      <w:r>
        <w:t xml:space="preserve">The city of China Guangzhou serves as a critical economic engine for southern China. With its status as a host for the Canton Fair and other international events, the volume of digital content generated by local enterprises, government bodies, and media agencies has grown exponentially. However legacy editing tools currently in use are plagued by compatibility issues with Chinese input methods, slow performance due to server latency from overseas hosting providers, and inadequate support for localized regulatory requirements.</w:t>
      </w:r>
    </w:p>
    <w:p>
      <w:pPr>
        <w:pStyle w:val="BodyText"/>
      </w:pPr>
      <w:r>
        <w:t xml:space="preserve">The current inefficiencies have resulted in a 20% delay in content publishing cycles across major departments. Furthermore the lack of native integration with platforms such as WeChat Official Accounts Douyin and Xiaohongshu has hindered market reach. The proposed solution focuses on deploying a localized, cloud-native</w:t>
      </w:r>
      <w:r>
        <w:t xml:space="preserve"> </w:t>
      </w:r>
      <w:r>
        <w:rPr>
          <w:bCs/>
          <w:b/>
        </w:rPr>
        <w:t xml:space="preserve">Editor</w:t>
      </w:r>
    </w:p>
    <w:bookmarkEnd w:id="21"/>
    <w:bookmarkStart w:id="22" w:name="project-objectives"/>
    <w:p>
      <w:pPr>
        <w:pStyle w:val="Heading2"/>
      </w:pPr>
      <w:r>
        <w:t xml:space="preserve">3. Project Objectives</w:t>
      </w:r>
    </w:p>
    <w:p>
      <w:pPr>
        <w:numPr>
          <w:ilvl w:val="0"/>
          <w:numId w:val="1001"/>
        </w:numPr>
        <w:pStyle w:val="Compact"/>
      </w:pPr>
      <w:r>
        <w:rPr>
          <w:bCs/>
          <w:b/>
        </w:rPr>
        <w:t xml:space="preserve">Optimization for Local Input Methods:</w:t>
      </w:r>
    </w:p>
    <w:p>
      <w:pPr>
        <w:numPr>
          <w:ilvl w:val="0"/>
          <w:numId w:val="1001"/>
        </w:numPr>
        <w:pStyle w:val="Compact"/>
      </w:pPr>
      <w:r>
        <w:rPr>
          <w:bCs/>
          <w:b/>
        </w:rPr>
        <w:t xml:space="preserve">Regulatory Compliance:</w:t>
      </w:r>
    </w:p>
    <w:p>
      <w:pPr>
        <w:numPr>
          <w:ilvl w:val="0"/>
          <w:numId w:val="1000"/>
        </w:numPr>
        <w:pStyle w:val="Compact"/>
      </w:pPr>
      <w:r>
        <w:t xml:space="preserve">The Editor must include built-in content filtering mechanisms that align with the Cybersecurity Law of the People's Republic of China. This includes real-time scanning for sensitive keywords, ensuring all hosted data remains within mainland Chinese servers to satisfy data sovereignty regulations in China Guangzhou.</w:t>
      </w:r>
    </w:p>
    <w:p>
      <w:pPr>
        <w:numPr>
          <w:ilvl w:val="0"/>
          <w:numId w:val="1001"/>
        </w:numPr>
        <w:pStyle w:val="Compact"/>
      </w:pPr>
      <w:r>
        <w:rPr>
          <w:bCs/>
          <w:b/>
        </w:rPr>
        <w:t xml:space="preserve">Enhanced Collaborative Features:</w:t>
      </w:r>
    </w:p>
    <w:p>
      <w:pPr>
        <w:numPr>
          <w:ilvl w:val="0"/>
          <w:numId w:val="1000"/>
        </w:numPr>
        <w:pStyle w:val="Compact"/>
      </w:pPr>
      <w:r>
        <w:t xml:space="preserve">Facilitating real-time co-editing capabilities for teams spread across Guangzhou, Shenzhen, and Hong Kong. This involves reducing latency through edge computing nodes located physically within the Pearl River Delta network.</w:t>
      </w:r>
    </w:p>
    <w:p>
      <w:pPr>
        <w:numPr>
          <w:ilvl w:val="0"/>
          <w:numId w:val="1001"/>
        </w:numPr>
        <w:pStyle w:val="Compact"/>
      </w:pPr>
      <w:r>
        <w:rPr>
          <w:bCs/>
          <w:b/>
        </w:rPr>
        <w:t xml:space="preserve">Multimedia Integration:</w:t>
      </w:r>
    </w:p>
    <w:p>
      <w:pPr>
        <w:numPr>
          <w:ilvl w:val="0"/>
          <w:numId w:val="1000"/>
        </w:numPr>
        <w:pStyle w:val="Compact"/>
      </w:pPr>
      <w:r>
        <w:t xml:space="preserve">The Editor must support high-resolution video editing and image optimization suitable for mobile-first platforms popular in China Guangzhou such as WeChat Video Channels.</w:t>
      </w:r>
    </w:p>
    <w:bookmarkEnd w:id="22"/>
    <w:bookmarkStart w:id="26" w:name="technical-architecture"/>
    <w:p>
      <w:pPr>
        <w:pStyle w:val="Heading2"/>
      </w:pPr>
      <w:r>
        <w:t xml:space="preserve">4. Technical Architecture</w:t>
      </w:r>
    </w:p>
    <w:p>
      <w:pPr>
        <w:pStyle w:val="FirstParagraph"/>
      </w:pPr>
      <w:r>
        <w:t xml:space="preserve">The proposed Editor will be built upon a microservices architecture, allowing for scalable deployment across the China Guangzhou data centers. Key technical components include:</w:t>
      </w:r>
    </w:p>
    <w:bookmarkStart w:id="23" w:name="content-delivery-network-cdn-integration"/>
    <w:p>
      <w:pPr>
        <w:pStyle w:val="Heading3"/>
      </w:pPr>
      <w:r>
        <w:t xml:space="preserve">4.1 Content Delivery Network (CDN) Integration</w:t>
      </w:r>
    </w:p>
    <w:p>
      <w:pPr>
        <w:pStyle w:val="FirstParagraph"/>
      </w:pPr>
      <w:r>
        <w:rPr>
          <w:bCs/>
          <w:b/>
        </w:rPr>
        <w:t xml:space="preserve">Strategy:</w:t>
      </w:r>
    </w:p>
    <w:p>
      <w:pPr>
        <w:pStyle w:val="BodyText"/>
      </w:pPr>
      <w:r>
        <w:t xml:space="preserve">To combat latency issues, the Editor will utilize a distributed CDN with edge nodes in Guangzhou and surrounding provinces. This ensures that assets such as large video files and high-resolution graphics load instantly for editors working locally, providing a user experience comparable to domestic software giants.</w:t>
      </w:r>
    </w:p>
    <w:bookmarkEnd w:id="23"/>
    <w:bookmarkStart w:id="24" w:name="data-sovereignty-and-security"/>
    <w:p>
      <w:pPr>
        <w:pStyle w:val="Heading3"/>
      </w:pPr>
      <w:r>
        <w:t xml:space="preserve">4.2 Data Sovereignty and Security</w:t>
      </w:r>
    </w:p>
    <w:p>
      <w:pPr>
        <w:pStyle w:val="FirstParagraph"/>
      </w:pPr>
      <w:r>
        <w:t xml:space="preserve">All data processed by the Editor will be stored within mainland China servers. We will implement end-to-end encryption for drafts in transit and at rest. Additionally, access control mechanisms will integrate with existing enterprise identity providers (such as DingTalk or Feishu) to ensure that only authorized personnel in Guangzhou can access sensitive editorial materials.</w:t>
      </w:r>
    </w:p>
    <w:bookmarkEnd w:id="24"/>
    <w:bookmarkStart w:id="25" w:name="ai-assisted-writing-tools"/>
    <w:p>
      <w:pPr>
        <w:pStyle w:val="Heading3"/>
      </w:pPr>
      <w:r>
        <w:t xml:space="preserve">4.3 AI-Assisted Writing Tools</w:t>
      </w:r>
    </w:p>
    <w:p>
      <w:pPr>
        <w:pStyle w:val="FirstParagraph"/>
      </w:pPr>
      <w:r>
        <w:rPr>
          <w:bCs/>
          <w:b/>
        </w:rPr>
        <w:t xml:space="preserve">Innovation:</w:t>
      </w:r>
    </w:p>
    <w:p>
      <w:pPr>
        <w:pStyle w:val="BodyText"/>
      </w:pPr>
      <w:r>
        <w:t xml:space="preserve">The Editor will incorporate an AI engine trained on local linguistic patterns. This tool will assist writers in generating headlines that resonate with Guangzhou audiences, suggest culturally appropriate imagery, and automatically format text according to the style guides of major Chinese media outlets.</w:t>
      </w:r>
    </w:p>
    <w:bookmarkEnd w:id="25"/>
    <w:bookmarkEnd w:id="26"/>
    <w:bookmarkStart w:id="27" w:name="implementation-timeline"/>
    <w:p>
      <w:pPr>
        <w:pStyle w:val="Heading2"/>
      </w:pPr>
      <w:r>
        <w:t xml:space="preserve">5. Implementation Timeline</w:t>
      </w:r>
    </w:p>
    <w:p>
      <w:pPr>
        <w:pStyle w:val="FirstParagraph"/>
      </w:pPr>
      <w:r>
        <w:t xml:space="preserve">Milestone</w:t>
      </w:r>
    </w:p>
    <w:p>
      <w:pPr>
        <w:pStyle w:val="BodyText"/>
      </w:pPr>
      <w:r>
        <w:t xml:space="preserve">Description</w:t>
      </w:r>
    </w:p>
    <w:p>
      <w:pPr>
        <w:pStyle w:val="BodyText"/>
      </w:pPr>
      <w:r>
        <w:t xml:space="preserve">Estimated Duration</w:t>
      </w:r>
    </w:p>
    <w:p>
      <w:pPr>
        <w:pStyle w:val="BodyText"/>
      </w:pPr>
      <w:r>
        <w:t xml:space="preserve">Pilot Phase</w:t>
      </w:r>
    </w:p>
    <w:p>
      <w:pPr>
        <w:pStyle w:val="BodyText"/>
      </w:pPr>
      <w:r>
        <w:t xml:space="preserve">Detailed requirements gathering and initial UI/UX testing with a select group of editors in China Guangzhou.</w:t>
      </w:r>
    </w:p>
    <w:p>
      <w:pPr>
        <w:pStyle w:val="BodyText"/>
      </w:pPr>
      <w:r>
        <w:t xml:space="preserve">4 WeeksIntegration Phase</w:t>
      </w:r>
    </w:p>
    <w:p>
      <w:pPr>
        <w:pStyle w:val="BodyText"/>
      </w:pPr>
      <w:r>
        <w:t xml:space="preserve">Techical integration with local CDN and security compliance audits.</w:t>
      </w:r>
    </w:p>
    <w:p>
      <w:pPr>
        <w:pStyle w:val="BodyText"/>
      </w:pPr>
      <w:r>
        <w:t xml:space="preserve">8 Weeks</w:t>
      </w:r>
    </w:p>
    <w:p>
      <w:pPr>
        <w:pStyle w:val="BodyText"/>
      </w:pPr>
      <w:r>
        <w:t xml:space="preserve">&lt;</w:t>
      </w:r>
    </w:p>
    <w:bookmarkEnd w:id="27"/>
    <w:bookmarkStart w:id="28" w:name="risk-assessment-and-mitigation"/>
    <w:p>
      <w:pPr>
        <w:pStyle w:val="Heading2"/>
      </w:pPr>
      <w:r>
        <w:t xml:space="preserve">6. Risk Assessment and Mitigation</w:t>
      </w:r>
    </w:p>
    <w:p>
      <w:pPr>
        <w:pStyle w:val="FirstParagraph"/>
      </w:pPr>
      <w:r>
        <w:rPr>
          <w:bCs/>
          <w:b/>
        </w:rPr>
        <w:t xml:space="preserve">Regulatory Changes:</w:t>
      </w:r>
    </w:p>
    <w:p>
      <w:pPr>
        <w:pStyle w:val="BodyText"/>
      </w:pPr>
      <w:r>
        <w:t xml:space="preserve">The regulatory landscape in China is dynamic. To mitigate the risk of sudden compliance updates, the Editor will be designed with a modular compliance engine that can be updated remotely without requiring full software redeployment.</w:t>
      </w:r>
    </w:p>
    <w:p>
      <w:pPr>
        <w:pStyle w:val="BodyText"/>
      </w:pPr>
      <w:r>
        <w:t xml:space="preserve">&lt;</w:t>
      </w:r>
    </w:p>
    <w:p>
      <w:pPr>
        <w:pStyle w:val="BodyText"/>
      </w:pPr>
      <w:r>
        <w:rPr>
          <w:bCs/>
          <w:b/>
        </w:rPr>
        <w:t xml:space="preserve">User Adoption Resistance:</w:t>
      </w:r>
    </w:p>
    <w:p>
      <w:pPr>
        <w:pStyle w:val="BodyText"/>
      </w:pPr>
      <w:r>
        <w:t xml:space="preserve">Long-time users may resist switching from familiar tools. Mitigation strategies include extensive training workshops in Guangzhou, interactive tutorials embedded within the Editor itself, and a dedicated support team available during peak working hours.</w:t>
      </w:r>
    </w:p>
    <w:bookmarkEnd w:id="28"/>
    <w:bookmarkStart w:id="29" w:name="expected-benefits"/>
    <w:p>
      <w:pPr>
        <w:pStyle w:val="Heading2"/>
      </w:pPr>
      <w:r>
        <w:t xml:space="preserve">7. Expected Benefits</w:t>
      </w:r>
    </w:p>
    <w:p>
      <w:pPr>
        <w:pStyle w:val="FirstParagraph"/>
      </w:pPr>
      <w:r>
        <w:t xml:space="preserve">The successful deployment of this specialized</w:t>
      </w:r>
      <w:r>
        <w:t xml:space="preserve"> </w:t>
      </w:r>
      <w:r>
        <w:rPr>
          <w:bCs/>
          <w:b/>
        </w:rPr>
        <w:t xml:space="preserve">Editor</w:t>
      </w:r>
      <w:r>
        <w:t xml:space="preserve"> </w:t>
      </w:r>
      <w:r>
        <w:t xml:space="preserve">is projected to yield significant operational improvements for our operations in China Guangzhou:</w:t>
      </w:r>
    </w:p>
    <w:p>
      <w:pPr>
        <w:pStyle w:val="BodyText"/>
      </w:pPr>
      <w:r>
        <w:t xml:space="preserve">&lt;</w:t>
      </w:r>
    </w:p>
    <w:p>
      <w:pPr>
        <w:numPr>
          <w:ilvl w:val="0"/>
          <w:numId w:val="1002"/>
        </w:numPr>
        <w:pStyle w:val="Compact"/>
      </w:pPr>
      <w:r>
        <w:t xml:space="preserve">A 35% increase in content production speed due to optimized input methods and faster asset loading.</w:t>
      </w:r>
    </w:p>
    <w:p>
      <w:pPr>
        <w:numPr>
          <w:ilvl w:val="0"/>
          <w:numId w:val="1002"/>
        </w:numPr>
        <w:pStyle w:val="Compact"/>
      </w:pPr>
      <w:r>
        <w:t xml:space="preserve">A 90% reduction in compliance-related errors, ensuring that all published material meets local legal standards.</w:t>
      </w:r>
    </w:p>
    <w:p>
      <w:pPr>
        <w:numPr>
          <w:ilvl w:val="0"/>
          <w:numId w:val="1002"/>
        </w:numPr>
        <w:pStyle w:val="Compact"/>
      </w:pPr>
      <w:r>
        <w:t xml:space="preserve">Enhanced brand consistency across different platforms by providing uniform editing tools for all regional teams.</w:t>
      </w:r>
    </w:p>
    <w:bookmarkEnd w:id="29"/>
    <w:bookmarkStart w:id="30" w:name="conclusion"/>
    <w:p>
      <w:pPr>
        <w:pStyle w:val="Heading2"/>
      </w:pPr>
      <w:r>
        <w:t xml:space="preserve">8. Conclusion</w:t>
      </w:r>
    </w:p>
    <w:p>
      <w:pPr>
        <w:pStyle w:val="FirstParagraph"/>
      </w:pPr>
      <w:r>
        <w:rPr>
          <w:bCs/>
          <w:b/>
        </w:rPr>
        <w:t xml:space="preserve">Final Recommendation:</w:t>
      </w:r>
    </w:p>
    <w:p>
      <w:pPr>
        <w:pStyle w:val="BodyText"/>
      </w:pPr>
      <w:r>
        <w:t xml:space="preserve">This project represents a critical step in modernizing our digital infrastructure in China Guangzhou. By investing in an</w:t>
      </w:r>
      <w:r>
        <w:t xml:space="preserve"> </w:t>
      </w:r>
      <w:r>
        <w:rPr>
          <w:bCs/>
          <w:b/>
        </w:rPr>
        <w:t xml:space="preserve">Editor</w:t>
      </w:r>
    </w:p>
    <w:p>
      <w:pPr>
        <w:pStyle w:val="BodyText"/>
      </w:pPr>
      <w:r>
        <w:rPr>
          <w:iCs/>
          <w:i/>
        </w:rPr>
        <w:t xml:space="preserve">This document has been prepared in accordance with international reporting standards, with specific adaptations for local regulatory environments in China Guangzhou.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Editorial Infrastructure in China Guangzhou</dc:title>
  <dc:creator/>
  <dc:language>en</dc:language>
  <cp:keywords/>
  <dcterms:created xsi:type="dcterms:W3CDTF">2026-07-29T05:47:05Z</dcterms:created>
  <dcterms:modified xsi:type="dcterms:W3CDTF">2026-07-29T05:47:05Z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