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Editor</w:t>
      </w:r>
      <w:r>
        <w:t xml:space="preserve"> </w:t>
      </w:r>
      <w:r>
        <w:t xml:space="preserve">Platform</w:t>
      </w:r>
      <w:r>
        <w:t xml:space="preserve"> </w:t>
      </w:r>
      <w:r>
        <w:t xml:space="preserve">in</w:t>
      </w:r>
      <w:r>
        <w:t xml:space="preserve"> </w:t>
      </w:r>
      <w:r>
        <w:t xml:space="preserve">Germany</w:t>
      </w:r>
      <w:r>
        <w:t xml:space="preserve"> </w:t>
      </w:r>
      <w:r>
        <w:t xml:space="preserve">Berlin</w:t>
      </w:r>
    </w:p>
    <w:bookmarkStart w:id="34" w:name="X3b2c383c17c9e246b6a8c104e82abcf165595db"/>
    <w:p>
      <w:pPr>
        <w:pStyle w:val="Heading1"/>
      </w:pPr>
      <w:r>
        <w:t xml:space="preserve">Project Report: Strategic Implementation of the Editor Platform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 (PMO)</w:t>
      </w:r>
      <w:r>
        <w:br/>
      </w:r>
      <w:r>
        <w:rPr>
          <w:bCs/>
          <w:b/>
        </w:rPr>
        <w:t xml:space="preserve">The following document provides a comprehensive analysis of the deployment strategy for our new content management Editor within the specific regulatory and cultural context of Germany Berlin. This report addresses technical requirements, legal compliance, user experience considerations, and operational workflows essential for a successful launch in this critical European market.</w:t>
      </w:r>
    </w:p>
    <w:bookmarkStart w:id="20" w:name="executive-summary"/>
    <w:p>
      <w:pPr>
        <w:pStyle w:val="Heading2"/>
      </w:pPr>
      <w:r>
        <w:t xml:space="preserve">1. Executive Summary</w:t>
      </w:r>
    </w:p>
    <w:p>
      <w:pPr>
        <w:pStyle w:val="FirstParagraph"/>
      </w:pPr>
      <w:r>
        <w:t xml:space="preserve">The global digital landscape is shifting rapidly toward decentralized content creation tools that offer robust collaboration features while maintaining strict data sovereignty. Our primary objective is to deploy the next-generation</w:t>
      </w:r>
      <w:r>
        <w:t xml:space="preserve"> </w:t>
      </w:r>
      <w:r>
        <w:rPr>
          <w:bCs/>
          <w:b/>
        </w:rPr>
        <w:t xml:space="preserve">Editor</w:t>
      </w:r>
      <w:r>
        <w:t xml:space="preserve">, a web-based rich text editing suite, specifically tailored for the demanding requirements of enterprise clients in Germany. The city of</w:t>
      </w:r>
      <w:r>
        <w:t xml:space="preserve"> </w:t>
      </w:r>
      <w:r>
        <w:rPr>
          <w:bCs/>
          <w:b/>
        </w:rPr>
        <w:t xml:space="preserve">Germany Berlin</w:t>
      </w:r>
      <w:r>
        <w:t xml:space="preserve"> </w:t>
      </w:r>
      <w:r>
        <w:t xml:space="preserve">has emerged as the undisputed tech capital of Europe, hosting thousands of startups, media agencies, and multinational corporations. Consequently, establishing a robust presence here is not merely an expansion strategy but a necessity for brand credibility in the DACH region (Germany, Austria, Switzerland).</w:t>
      </w:r>
    </w:p>
    <w:p>
      <w:pPr>
        <w:pStyle w:val="BodyText"/>
      </w:pPr>
      <w:r>
        <w:t xml:space="preserve">This report outlines the methodology used to adapt our core software product to meet local expectations. We have identified that success in this market hinges on three pillars: absolute compliance with European data protection laws, intuitive usability that respects German engineering standards for precision and reliability, and seamless integration with existing enterprise ecosystems prevalent in Berlin.</w:t>
      </w:r>
    </w:p>
    <w:bookmarkEnd w:id="20"/>
    <w:bookmarkStart w:id="23" w:name="contextual-analysis-of-germany-berlin"/>
    <w:p>
      <w:pPr>
        <w:pStyle w:val="Heading2"/>
      </w:pPr>
      <w:r>
        <w:t xml:space="preserve">2. Contextual Analysis of Germany Berlin</w:t>
      </w:r>
    </w:p>
    <w:p>
      <w:pPr>
        <w:pStyle w:val="FirstParagraph"/>
      </w:pPr>
      <w:r>
        <w:t xml:space="preserve">To effectively position the</w:t>
      </w:r>
      <w:r>
        <w:t xml:space="preserve"> </w:t>
      </w:r>
      <w:r>
        <w:rPr>
          <w:bCs/>
          <w:b/>
        </w:rPr>
        <w:t xml:space="preserve">Editor</w:t>
      </w:r>
      <w:r>
        <w:t xml:space="preserve">, we must first understand the unique environment of its target location.</w:t>
      </w:r>
      <w:r>
        <w:t xml:space="preserve"> </w:t>
      </w:r>
      <w:r>
        <w:rPr>
          <w:bCs/>
          <w:b/>
        </w:rPr>
        <w:t xml:space="preserve">Germany Berlin</w:t>
      </w:r>
      <w:r>
        <w:t xml:space="preserve"> </w:t>
      </w:r>
      <w:r>
        <w:t xml:space="preserve">is characterized by a highly educated workforce, significant tech literacy, and a strong cultural emphasis on privacy and data security. Unlike markets in North America or Asia, where user convenience often trumps data privacy concerns, users in</w:t>
      </w:r>
      <w:r>
        <w:t xml:space="preserve"> </w:t>
      </w:r>
      <w:r>
        <w:rPr>
          <w:bCs/>
          <w:b/>
        </w:rPr>
        <w:t xml:space="preserve">Germany Berlin</w:t>
      </w:r>
      <w:r>
        <w:t xml:space="preserve"> </w:t>
      </w:r>
      <w:r>
        <w:t xml:space="preserve">are vigilant about how their personal and professional data is handled.</w:t>
      </w:r>
    </w:p>
    <w:bookmarkStart w:id="21" w:name="the-tech-ecosystem"/>
    <w:p>
      <w:pPr>
        <w:pStyle w:val="Heading3"/>
      </w:pPr>
      <w:r>
        <w:t xml:space="preserve">2.1 The Tech Ecosystem</w:t>
      </w:r>
    </w:p>
    <w:p>
      <w:pPr>
        <w:pStyle w:val="FirstParagraph"/>
      </w:pPr>
      <w:r>
        <w:t xml:space="preserve">Berlin hosts a vibrant startup ecosystem known as "Berlin Startup Scene." Companies ranging from early-stage fintech innovators to established media houses require tools that are both agile and secure. The</w:t>
      </w:r>
      <w:r>
        <w:t xml:space="preserve"> </w:t>
      </w:r>
      <w:r>
        <w:rPr>
          <w:bCs/>
          <w:b/>
        </w:rPr>
        <w:t xml:space="preserve">Editor</w:t>
      </w:r>
      <w:r>
        <w:t xml:space="preserve"> </w:t>
      </w:r>
      <w:r>
        <w:t xml:space="preserve">must be marketed not just as a writing tool, but as an enterprise-grade solution that supports workflow automation, version control, and real-time collaboration without compromising security.</w:t>
      </w:r>
    </w:p>
    <w:bookmarkEnd w:id="21"/>
    <w:bookmarkStart w:id="22" w:name="cultural-expectations"/>
    <w:p>
      <w:pPr>
        <w:pStyle w:val="Heading3"/>
      </w:pPr>
      <w:r>
        <w:t xml:space="preserve">2.2 Cultural Expectations</w:t>
      </w:r>
    </w:p>
    <w:p>
      <w:pPr>
        <w:pStyle w:val="FirstParagraph"/>
      </w:pPr>
      <w:r>
        <w:t xml:space="preserve">In Berlin’s professional circles, efficiency is valued above flashy design. The interface of the</w:t>
      </w:r>
      <w:r>
        <w:t xml:space="preserve"> </w:t>
      </w:r>
      <w:r>
        <w:rPr>
          <w:bCs/>
          <w:b/>
        </w:rPr>
        <w:t xml:space="preserve">Editor</w:t>
      </w:r>
      <w:r>
        <w:t xml:space="preserve"> </w:t>
      </w:r>
      <w:r>
        <w:t xml:space="preserve">must be clean, logical, and devoid of unnecessary bloat. Users expect predictable behavior and immediate feedback on actions taken within the application.</w:t>
      </w:r>
    </w:p>
    <w:bookmarkEnd w:id="22"/>
    <w:bookmarkEnd w:id="23"/>
    <w:bookmarkStart w:id="24" w:name="product-adaptation-the-editor"/>
    <w:p>
      <w:pPr>
        <w:pStyle w:val="Heading2"/>
      </w:pPr>
      <w:r>
        <w:t xml:space="preserve">3. Product Adaptation: The Editor</w:t>
      </w:r>
    </w:p>
    <w:p>
      <w:pPr>
        <w:pStyle w:val="FirstParagraph"/>
      </w:pPr>
      <w:r>
        <w:t xml:space="preserve">The core product, referred to herein as the</w:t>
      </w:r>
      <w:r>
        <w:t xml:space="preserve"> </w:t>
      </w:r>
      <w:r>
        <w:rPr>
          <w:bCs/>
          <w:b/>
        </w:rPr>
        <w:t xml:space="preserve">Editor</w:t>
      </w:r>
      <w:r>
        <w:t xml:space="preserve">, has undergone significant modifications to align with regional standards. Below are the key technical and functional adaptations:</w:t>
      </w:r>
    </w:p>
    <w:p>
      <w:pPr>
        <w:numPr>
          <w:ilvl w:val="0"/>
          <w:numId w:val="1001"/>
        </w:numPr>
        <w:pStyle w:val="Compact"/>
      </w:pPr>
      <w:r>
        <w:rPr>
          <w:bCs/>
          <w:b/>
        </w:rPr>
        <w:t xml:space="preserve">Data Localization:</w:t>
      </w:r>
      <w:r>
        <w:t xml:space="preserve"> </w:t>
      </w:r>
      <w:r>
        <w:t xml:space="preserve">All data processed by the</w:t>
      </w:r>
      <w:r>
        <w:t xml:space="preserve"> </w:t>
      </w:r>
      <w:r>
        <w:rPr>
          <w:bCs/>
          <w:b/>
        </w:rPr>
        <w:t xml:space="preserve">Editor</w:t>
      </w:r>
      <w:r>
        <w:t xml:space="preserve"> </w:t>
      </w:r>
      <w:r>
        <w:t xml:space="preserve">within German jurisdictions must be stored on servers physically located within the European Union. We have established dedicated cloud infrastructure in Frankfurt, Germany, to ensure low latency and full compliance with cross-border data transfer restrictions.</w:t>
      </w:r>
    </w:p>
    <w:p>
      <w:pPr>
        <w:numPr>
          <w:ilvl w:val="0"/>
          <w:numId w:val="1001"/>
        </w:numPr>
        <w:pStyle w:val="Compact"/>
      </w:pPr>
      <w:r>
        <w:rPr>
          <w:bCs/>
          <w:b/>
        </w:rPr>
        <w:t xml:space="preserve">German Language Support:</w:t>
      </w:r>
      <w:r>
        <w:t xml:space="preserve"> </w:t>
      </w:r>
      <w:r>
        <w:t xml:space="preserve">Beyond simple translation, the</w:t>
      </w:r>
      <w:r>
        <w:t xml:space="preserve"> </w:t>
      </w:r>
      <w:r>
        <w:rPr>
          <w:bCs/>
          <w:b/>
        </w:rPr>
        <w:t xml:space="preserve">Editor</w:t>
      </w:r>
      <w:r>
        <w:t xml:space="preserve"> </w:t>
      </w:r>
      <w:r>
        <w:t xml:space="preserve">now includes advanced spell-checking and grammar correction capabilities specifically tuned for German (de-DE). This includes support for compound words, formal address forms ("Sie" vs. "Du"), and regional variations.</w:t>
      </w:r>
    </w:p>
    <w:p>
      <w:pPr>
        <w:numPr>
          <w:ilvl w:val="0"/>
          <w:numId w:val="1001"/>
        </w:numPr>
        <w:pStyle w:val="Compact"/>
      </w:pPr>
      <w:r>
        <w:rPr>
          <w:bCs/>
          <w:b/>
        </w:rPr>
        <w:t xml:space="preserve">Collaborative Workflow Features:</w:t>
      </w:r>
      <w:r>
        <w:t xml:space="preserve"> </w:t>
      </w:r>
      <w:r>
        <w:t xml:space="preserve">Recognizing the collaborative nature of modern offices in</w:t>
      </w:r>
      <w:r>
        <w:t xml:space="preserve"> </w:t>
      </w:r>
      <w:r>
        <w:rPr>
          <w:bCs/>
          <w:b/>
        </w:rPr>
        <w:t xml:space="preserve">Germany Berlin</w:t>
      </w:r>
      <w:r>
        <w:t xml:space="preserve">, we have enhanced real-time co-editing features. Multiple users can now work on the same document simultaneously with clear indicators showing cursor positions and edits, facilitating efficient team reviews.</w:t>
      </w:r>
    </w:p>
    <w:bookmarkEnd w:id="24"/>
    <w:bookmarkStart w:id="28" w:name="X74d2466851bb29c1764b2b80a629fc5ff0b7c5d"/>
    <w:p>
      <w:pPr>
        <w:pStyle w:val="Heading2"/>
      </w:pPr>
      <w:r>
        <w:t xml:space="preserve">4. Regulatory Compliance and Legal Frameworks</w:t>
      </w:r>
    </w:p>
    <w:p>
      <w:pPr>
        <w:pStyle w:val="FirstParagraph"/>
      </w:pPr>
      <w:r>
        <w:t xml:space="preserve">The most critical aspect of deploying any software service in Europe is adherence to the General Data Protection Regulation (GDPR). Operating the</w:t>
      </w:r>
      <w:r>
        <w:t xml:space="preserve"> </w:t>
      </w:r>
      <w:r>
        <w:rPr>
          <w:bCs/>
          <w:b/>
        </w:rPr>
        <w:t xml:space="preserve">Editor</w:t>
      </w:r>
      <w:r>
        <w:t xml:space="preserve"> </w:t>
      </w:r>
      <w:r>
        <w:t xml:space="preserve">in</w:t>
      </w:r>
      <w:r>
        <w:t xml:space="preserve"> </w:t>
      </w:r>
      <w:r>
        <w:rPr>
          <w:bCs/>
          <w:b/>
        </w:rPr>
        <w:t xml:space="preserve">Germany Berlin</w:t>
      </w:r>
    </w:p>
    <w:p>
      <w:pPr>
        <w:pStyle w:val="BodyText"/>
      </w:pPr>
      <w:r>
        <w:t xml:space="preserve">, or anywhere in Germany, requires strict adherence to these regulations. The following measures have been implemented:</w:t>
      </w:r>
    </w:p>
    <w:bookmarkStart w:id="25" w:name="consent-management"/>
    <w:p>
      <w:pPr>
        <w:pStyle w:val="Heading3"/>
      </w:pPr>
      <w:r>
        <w:t xml:space="preserve">4.1 Consent Management</w:t>
      </w:r>
    </w:p>
    <w:p>
      <w:pPr>
        <w:pStyle w:val="FirstParagraph"/>
      </w:pPr>
      <w:r>
        <w:t xml:space="preserve">The user interface of the</w:t>
      </w:r>
      <w:r>
        <w:t xml:space="preserve"> </w:t>
      </w:r>
      <w:r>
        <w:rPr>
          <w:bCs/>
          <w:b/>
        </w:rPr>
        <w:t xml:space="preserve">Editor</w:t>
      </w:r>
    </w:p>
    <w:p>
      <w:pPr>
        <w:pStyle w:val="BodyText"/>
      </w:pPr>
      <w:r>
        <w:rPr>
          <w:iCs/>
          <w:i/>
        </w:rPr>
        <w:t xml:space="preserve">.</w:t>
      </w:r>
      <w:r>
        <w:t xml:space="preserve">We have integrated a granular consent management platform that allows users to opt-in or out of non-essential tracking mechanisms. This ensures transparency and builds trust with our user base.</w:t>
      </w:r>
    </w:p>
    <w:bookmarkEnd w:id="25"/>
    <w:bookmarkStart w:id="26" w:name="right-to-erasure"/>
    <w:p>
      <w:pPr>
        <w:pStyle w:val="Heading3"/>
      </w:pPr>
      <w:r>
        <w:t xml:space="preserve">4.2 Right to Erasure</w:t>
      </w:r>
    </w:p>
    <w:p>
      <w:pPr>
        <w:pStyle w:val="FirstParagraph"/>
      </w:pPr>
      <w:r>
        <w:t xml:space="preserve">We have developed automated scripts within the backend architecture of the</w:t>
      </w:r>
      <w:r>
        <w:t xml:space="preserve"> </w:t>
      </w:r>
      <w:r>
        <w:rPr>
          <w:bCs/>
          <w:b/>
        </w:rPr>
        <w:t xml:space="preserve">Editor</w:t>
      </w:r>
      <w:r>
        <w:t xml:space="preserve">.</w:t>
      </w:r>
    </w:p>
    <w:p>
      <w:pPr>
        <w:pStyle w:val="BodyText"/>
      </w:pPr>
      <w:r>
        <w:t xml:space="preserve">The system allows for immediate deletion of user data upon request, ensuring that we are fully compliant with Article 17 of the GDPR. This feature is crucial for maintaining a positive reputation in the legally conscious market of Germany Berlin.</w:t>
      </w:r>
    </w:p>
    <w:bookmarkEnd w:id="26"/>
    <w:bookmarkStart w:id="27" w:name="accessibility-standards"/>
    <w:p>
      <w:pPr>
        <w:pStyle w:val="Heading3"/>
      </w:pPr>
      <w:r>
        <w:t xml:space="preserve">4.3 Accessibility Standards</w:t>
      </w:r>
    </w:p>
    <w:p>
      <w:pPr>
        <w:pStyle w:val="FirstParagraph"/>
      </w:pPr>
      <w:r>
        <w:t xml:space="preserve">In addition to privacy laws, accessibility regulations such as the EU Web Accessibility Directive are strictly enforced in Germany. The</w:t>
      </w:r>
      <w:r>
        <w:t xml:space="preserve"> </w:t>
      </w:r>
      <w:r>
        <w:rPr>
          <w:bCs/>
          <w:b/>
        </w:rPr>
        <w:t xml:space="preserve">Editor</w:t>
      </w:r>
      <w:r>
        <w:t xml:space="preserve">.</w:t>
      </w:r>
    </w:p>
    <w:p>
      <w:pPr>
        <w:pStyle w:val="BodyText"/>
      </w:pPr>
      <w:r>
        <w:t xml:space="preserve">The interface is fully navigable via keyboard shortcuts and screen readers, ensuring that users with disabilities can utilize the tool effectively.</w:t>
      </w:r>
    </w:p>
    <w:bookmarkEnd w:id="27"/>
    <w:bookmarkEnd w:id="28"/>
    <w:bookmarkStart w:id="31" w:name="X4288e9c87453ed046f8b181399931fac7f039a4"/>
    <w:p>
      <w:pPr>
        <w:pStyle w:val="Heading2"/>
      </w:pPr>
      <w:r>
        <w:t xml:space="preserve">5. Market Entry Strategy and Operational Plan</w:t>
      </w:r>
    </w:p>
    <w:p>
      <w:pPr>
        <w:pStyle w:val="FirstParagraph"/>
      </w:pPr>
      <w:r>
        <w:t xml:space="preserve">To successfully launch the</w:t>
      </w:r>
      <w:r>
        <w:t xml:space="preserve"> </w:t>
      </w:r>
      <w:r>
        <w:rPr>
          <w:bCs/>
          <w:b/>
        </w:rPr>
        <w:t xml:space="preserve">Editor</w:t>
      </w:r>
      <w:r>
        <w:t xml:space="preserve">.</w:t>
      </w:r>
    </w:p>
    <w:p>
      <w:pPr>
        <w:pStyle w:val="BodyText"/>
      </w:pPr>
      <w:r>
        <w:t xml:space="preserve">The initial phase involves a closed beta program involving select partners in Berlin. This includes media agencies, legal firms, and tech startups who will provide feedback on usability and performance.</w:t>
      </w:r>
    </w:p>
    <w:bookmarkStart w:id="29" w:name="localized-marketing"/>
    <w:p>
      <w:pPr>
        <w:pStyle w:val="Heading3"/>
      </w:pPr>
      <w:r>
        <w:t xml:space="preserve">5.1 Localized Marketing</w:t>
      </w:r>
    </w:p>
    <w:p>
      <w:pPr>
        <w:pStyle w:val="FirstParagraph"/>
      </w:pPr>
      <w:r>
        <w:t xml:space="preserve">Our marketing strategy will focus on highlighting the security features of the</w:t>
      </w:r>
      <w:r>
        <w:t xml:space="preserve"> </w:t>
      </w:r>
      <w:r>
        <w:rPr>
          <w:bCs/>
          <w:b/>
        </w:rPr>
        <w:t xml:space="preserve">Editor</w:t>
      </w:r>
      <w:r>
        <w:t xml:space="preserve">.</w:t>
      </w:r>
    </w:p>
    <w:p>
      <w:pPr>
        <w:pStyle w:val="BodyText"/>
      </w:pPr>
      <w:r>
        <w:t xml:space="preserve">.Slogans such as "Secure Writing for European Business" resonate well with German audiences who value precision and reliability.</w:t>
      </w:r>
    </w:p>
    <w:bookmarkEnd w:id="29"/>
    <w:bookmarkStart w:id="30" w:name="customer-support-in-germany-berlin"/>
    <w:p>
      <w:pPr>
        <w:pStyle w:val="Heading3"/>
      </w:pPr>
      <w:r>
        <w:t xml:space="preserve">5.2 Customer Support in Germany Berlin</w:t>
      </w:r>
    </w:p>
    <w:p>
      <w:pPr>
        <w:pStyle w:val="FirstParagraph"/>
      </w:pPr>
      <w:r>
        <w:t xml:space="preserve">We have established a dedicated support team based in</w:t>
      </w:r>
      <w:r>
        <w:t xml:space="preserve"> </w:t>
      </w:r>
      <w:r>
        <w:rPr>
          <w:bCs/>
          <w:b/>
        </w:rPr>
        <w:t xml:space="preserve">Germany Berlin</w:t>
      </w:r>
      <w:r>
        <w:t xml:space="preserve">.</w:t>
      </w:r>
    </w:p>
    <w:p>
      <w:pPr>
        <w:pStyle w:val="BodyText"/>
      </w:pPr>
      <w:r>
        <w:t xml:space="preserve">.This team operates during Central European Time (CET) and is fluent in both German and English. They are trained to handle technical queries with a focus on empathy and thoroughness, reflecting local service expectations.</w:t>
      </w:r>
    </w:p>
    <w:bookmarkEnd w:id="30"/>
    <w:bookmarkEnd w:id="31"/>
    <w:bookmarkStart w:id="32" w:name="conclusion"/>
    <w:p>
      <w:pPr>
        <w:pStyle w:val="Heading2"/>
      </w:pPr>
      <w:r>
        <w:t xml:space="preserve">6. Conclusion</w:t>
      </w:r>
    </w:p>
    <w:p>
      <w:pPr>
        <w:pStyle w:val="FirstParagraph"/>
      </w:pPr>
      <w:r>
        <w:t xml:space="preserve">The deployment of the</w:t>
      </w:r>
      <w:r>
        <w:t xml:space="preserve"> </w:t>
      </w:r>
      <w:r>
        <w:rPr>
          <w:bCs/>
          <w:b/>
        </w:rPr>
        <w:t xml:space="preserve">Editor</w:t>
      </w:r>
      <w:r>
        <w:t xml:space="preserve">.</w:t>
      </w:r>
    </w:p>
    <w:p>
      <w:pPr>
        <w:pStyle w:val="BodyText"/>
      </w:pPr>
      <w:r>
        <w:t xml:space="preserve">.By prioritizing data sovereignty, cultural nuance, and regulatory compliance, we are positioning the platform as a trusted partner for businesses operating in this dynamic hub.</w:t>
      </w:r>
    </w:p>
    <w:p>
      <w:pPr>
        <w:pStyle w:val="BodyText"/>
      </w:pPr>
      <w:r>
        <w:t xml:space="preserve">In conclusion, the success of this project depends on our ability to consistently deliver a secure, efficient, and locally relevant product. The</w:t>
      </w:r>
      <w:r>
        <w:t xml:space="preserve"> </w:t>
      </w:r>
      <w:r>
        <w:rPr>
          <w:bCs/>
          <w:b/>
        </w:rPr>
        <w:t xml:space="preserve">Editor</w:t>
      </w:r>
      <w:r>
        <w:t xml:space="preserve">.</w:t>
      </w:r>
    </w:p>
    <w:p>
      <w:pPr>
        <w:pStyle w:val="BodyText"/>
      </w:pPr>
      <w:r>
        <w:t xml:space="preserve">.We recommend proceeding with the full public launch scheduled for Q1 next year, following the successful completion of the beta testing phase.</w:t>
      </w:r>
    </w:p>
    <w:bookmarkEnd w:id="32"/>
    <w:bookmarkStart w:id="33" w:name="recommendations"/>
    <w:p>
      <w:pPr>
        <w:pStyle w:val="Heading2"/>
      </w:pPr>
      <w:r>
        <w:t xml:space="preserve">7. Recommendations</w:t>
      </w:r>
    </w:p>
    <w:p>
      <w:pPr>
        <w:numPr>
          <w:ilvl w:val="0"/>
          <w:numId w:val="1002"/>
        </w:numPr>
        <w:pStyle w:val="Compact"/>
      </w:pPr>
      <w:r>
        <w:rPr>
          <w:bCs/>
          <w:b/>
        </w:rPr>
        <w:t xml:space="preserve">Prioritize Security Audits:</w:t>
      </w:r>
      <w:r>
        <w:t xml:space="preserve">.</w:t>
      </w:r>
    </w:p>
    <w:p>
      <w:pPr>
        <w:numPr>
          <w:ilvl w:val="0"/>
          <w:numId w:val="1000"/>
        </w:numPr>
        <w:pStyle w:val="Compact"/>
      </w:pPr>
      <w:r>
        <w:t xml:space="preserve">.Conduct regular third-party security assessments to identify and patch vulnerabilities promptly.</w:t>
      </w:r>
    </w:p>
    <w:p>
      <w:pPr>
        <w:numPr>
          <w:ilvl w:val="0"/>
          <w:numId w:val="1002"/>
        </w:numPr>
        <w:pStyle w:val="Compact"/>
      </w:pPr>
      <w:r>
        <w:t xml:space="preserve">The marketing budget should allocate significant resources to digital campaigns targeting tech hubs in Germany Berlin, emphasizing the localized nature of our service.</w:t>
      </w:r>
    </w:p>
    <w:p>
      <w:pPr>
        <w:numPr>
          <w:ilvl w:val="0"/>
          <w:numId w:val="1002"/>
        </w:numPr>
      </w:pPr>
      <w:r>
        <w:rPr>
          <w:bCs/>
          <w:b/>
        </w:rPr>
        <w:t xml:space="preserve">Sustained Engagement:</w:t>
      </w:r>
      <w:r>
        <w:t xml:space="preserve">.</w:t>
      </w:r>
    </w:p>
    <w:p>
      <w:pPr>
        <w:numPr>
          <w:ilvl w:val="0"/>
          <w:numId w:val="1000"/>
        </w:numPr>
      </w:pPr>
      <w:r>
        <w:t xml:space="preserve">We recommend creating a user community forum specifically for German-speaking users to share tips, request features, and provide feedback on the Editor. This will foster loyalty and drive continuous improvement.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Editor Platform in Germany Berlin</dc:title>
  <dc:creator/>
  <dc:language>en</dc:language>
  <cp:keywords/>
  <dcterms:created xsi:type="dcterms:W3CDTF">2026-07-29T04:57:29Z</dcterms:created>
  <dcterms:modified xsi:type="dcterms:W3CDTF">2026-07-29T04:57:29Z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