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Deployment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82ddaff5be91eb0e0225e4e5fa06345ccebb631"/>
    <w:p>
      <w:pPr>
        <w:pStyle w:val="Heading1"/>
      </w:pPr>
      <w:r>
        <w:t xml:space="preserve">Project Report Strategic Deployment of Editor Infrastructure in Germany Frankfurt</w:t>
      </w:r>
    </w:p>
    <w:p>
      <w:pPr>
        <w:pStyle w:val="FirstParagraph"/>
      </w:pPr>
      <w:r>
        <w:rPr>
          <w:bCs/>
          <w:b/>
        </w:rPr>
        <w:t xml:space="preserve">Date:</w:t>
      </w:r>
      <w:r>
        <w:br/>
      </w:r>
      <w:r>
        <w:t xml:space="preserve">October 26, 2023</w:t>
      </w:r>
      <w:r>
        <w:br/>
      </w:r>
      <w:r>
        <w:rPr>
          <w:bCs/>
          <w:b/>
        </w:rPr>
        <w:t xml:space="preserve">To:</w:t>
      </w:r>
      <w:r>
        <w:br/>
      </w:r>
      <w:r>
        <w:t xml:space="preserve">Project Stakeholders and Technical Oversight Committee</w:t>
      </w:r>
      <w:r>
        <w:br/>
      </w:r>
      <w:r>
        <w:rPr>
          <w:bCs/>
          <w:b/>
        </w:rPr>
        <w:t xml:space="preserve">From:</w:t>
      </w:r>
      <w:r>
        <w:br/>
      </w:r>
      <w:r>
        <w:t xml:space="preserve">Regional Operations Team Europe</w:t>
      </w:r>
      <w:r>
        <w:br/>
      </w:r>
      <w:r>
        <w:rPr>
          <w:bCs/>
          <w:b/>
        </w:rPr>
        <w:t xml:space="preserve">Subject:&lt; /Strong&gt;The increasing demand for real-time collaborative editing solutions across the European market has necessitated a strategic reevaluation of our infrastructure deployment model. This report outlines the comprehensive plan to deploy and optimize our proprietary</w:t>
      </w:r>
      <w:r>
        <w:rPr>
          <w:bCs/>
          <w:b/>
        </w:rPr>
        <w:t xml:space="preserve"> </w:t>
      </w:r>
      <w:r>
        <w:rPr>
          <w:bCs/>
          <w:b/>
          <w:bCs/>
          <w:b/>
        </w:rPr>
        <w:t xml:space="preserve">Editor</w:t>
      </w:r>
      <w:r>
        <w:rPr>
          <w:bCs/>
          <w:b/>
        </w:rPr>
        <w:t xml:space="preserve"> </w:t>
      </w:r>
      <w:r>
        <w:rPr>
          <w:bCs/>
          <w:b/>
        </w:rPr>
        <w:t xml:space="preserve">platform within the technological ecosystem of</w:t>
      </w:r>
      <w:r>
        <w:rPr>
          <w:bCs/>
          <w:b/>
        </w:rPr>
        <w:t xml:space="preserve"> </w:t>
      </w:r>
      <w:r>
        <w:rPr>
          <w:bCs/>
          <w:b/>
          <w:bCs/>
          <w:b/>
        </w:rPr>
        <w:t xml:space="preserve">Germany Frankfurt</w:t>
      </w:r>
      <w:r>
        <w:rPr>
          <w:bCs/>
          <w:b/>
        </w:rPr>
        <w:t xml:space="preserve">. By establishing a localized presence in one of Europe's most critical data centers hubs, we aim to enhance performance, ensure regulatory compliance, and improve user experience for our growing base of enterprise clients in the DACH region (Germany, Austria, Switzerland).</w:t>
      </w:r>
    </w:p>
    <w:bookmarkStart w:id="20" w:name="introduction-and-strategic-rationale"/>
    <w:p>
      <w:pPr>
        <w:pStyle w:val="Heading2"/>
      </w:pPr>
      <w:r>
        <w:t xml:space="preserve">1. Introduction and Strategic Rationale</w:t>
      </w:r>
    </w:p>
    <w:p>
      <w:pPr>
        <w:pStyle w:val="FirstParagraph"/>
      </w:pPr>
      <w:r>
        <w:t xml:space="preserve">The choice of</w:t>
      </w:r>
      <w:r>
        <w:t xml:space="preserve"> </w:t>
      </w:r>
      <w:r>
        <w:rPr>
          <w:bCs/>
          <w:b/>
        </w:rPr>
        <w:t xml:space="preserve">Germany Frankfurt</w:t>
      </w:r>
      <w:r>
        <w:t xml:space="preserve"> </w:t>
      </w:r>
      <w:r>
        <w:t xml:space="preserve">is not arbitrary but driven by its status as a primary digital gateway to Europe. Frankfurt am Main is home to numerous internet exchange points (IXPs) and major cloud service providers, making it an ideal location for low-latency operations. The deployment of the</w:t>
      </w:r>
      <w:r>
        <w:t xml:space="preserve"> </w:t>
      </w:r>
      <w:r>
        <w:rPr>
          <w:bCs/>
          <w:b/>
        </w:rPr>
        <w:t xml:space="preserve">Editor</w:t>
      </w:r>
      <w:r>
        <w:t xml:space="preserve"> </w:t>
      </w:r>
      <w:r>
        <w:t xml:space="preserve">in this specific geographic zone addresses several critical challenges faced by European users, including data sovereignty concerns, network latency issues when accessing servers located outside the EU, and the need for localized support structures.</w:t>
      </w:r>
      <w:r>
        <w:t xml:space="preserve"> </w:t>
      </w:r>
      <w:r>
        <w:t xml:space="preserve">This project report serves as a foundational document detailing how our</w:t>
      </w:r>
      <w:r>
        <w:t xml:space="preserve"> </w:t>
      </w:r>
      <w:r>
        <w:rPr>
          <w:bCs/>
          <w:b/>
        </w:rPr>
        <w:t xml:space="preserve">Editor</w:t>
      </w:r>
      <w:r>
        <w:t xml:space="preserve"> </w:t>
      </w:r>
      <w:r>
        <w:t xml:space="preserve">technology will be integrated into the local infrastructure of</w:t>
      </w:r>
      <w:r>
        <w:t xml:space="preserve"> </w:t>
      </w:r>
      <w:r>
        <w:rPr>
          <w:bCs/>
          <w:b/>
        </w:rPr>
        <w:t xml:space="preserve">Germany Frankfurt</w:t>
      </w:r>
      <w:r>
        <w:t xml:space="preserve">. It covers technical specifications, compliance with local laws such as the General Data Protection Regulation (GDPR), security protocols, and expected operational outcomes. The goal is to create a seamless, high-performance editing environment that respects user privacy while delivering world-class functionality.</w:t>
      </w:r>
    </w:p>
    <w:bookmarkEnd w:id="20"/>
    <w:bookmarkStart w:id="21" w:name="X9d42a3e79296b0d722cebf8e9807efe501a1187"/>
    <w:p>
      <w:pPr>
        <w:pStyle w:val="Heading2"/>
      </w:pPr>
      <w:r>
        <w:t xml:space="preserve">2. Technical Infrastructure in Germany Frankfurt</w:t>
      </w:r>
    </w:p>
    <w:p>
      <w:pPr>
        <w:pStyle w:val="FirstParagraph"/>
      </w:pPr>
      <w:r>
        <w:t xml:space="preserve">To support the</w:t>
      </w:r>
      <w:r>
        <w:t xml:space="preserve"> </w:t>
      </w:r>
      <w:r>
        <w:rPr>
          <w:bCs/>
          <w:b/>
        </w:rPr>
        <w:t xml:space="preserve">Editor</w:t>
      </w:r>
      <w:r>
        <w:t xml:space="preserve">, we have established a robust infrastructure within the data centers of</w:t>
      </w:r>
      <w:r>
        <w:t xml:space="preserve"> </w:t>
      </w:r>
      <w:r>
        <w:rPr>
          <w:bCs/>
          <w:b/>
        </w:rPr>
        <w:t xml:space="preserve">Germany Frankfurt</w:t>
      </w:r>
      <w:r>
        <w:t xml:space="preserve">. This includes dedicated server clusters designed to handle high-throughput text processing, real-time collaboration features, and large media file uploads. The infrastructure is built on a microservices architecture, allowing for scalable deployment and independent scaling of different editor components such as word processing engines, style sheets management systems, and version control histories.</w:t>
      </w:r>
      <w:r>
        <w:t xml:space="preserve"> </w:t>
      </w:r>
      <w:r>
        <w:t xml:space="preserve">Key technical components include:</w:t>
      </w:r>
    </w:p>
    <w:p>
      <w:pPr>
        <w:numPr>
          <w:ilvl w:val="0"/>
          <w:numId w:val="1001"/>
        </w:numPr>
        <w:pStyle w:val="Compact"/>
      </w:pPr>
      <w:r>
        <w:rPr>
          <w:bCs/>
          <w:b/>
        </w:rPr>
        <w:t xml:space="preserve">Low-Latency Network Integration:</w:t>
      </w:r>
      <w:r>
        <w:t xml:space="preserve"> By hosting the</w:t>
      </w:r>
      <w:r>
        <w:t xml:space="preserve"> </w:t>
      </w:r>
      <w:r>
        <w:rPr>
          <w:bCs/>
          <w:b/>
        </w:rPr>
        <w:t xml:space="preserve">Editor</w:t>
      </w:r>
      <w:r>
        <w:t xml:space="preserve"> servers in Frankfurt, we reduce ping times significantly for users across Europe. This is crucial for real-time collaboration features where milliseconds matter.</w:t>
      </w:r>
    </w:p>
    <w:p>
      <w:pPr>
        <w:numPr>
          <w:ilvl w:val="0"/>
          <w:numId w:val="1001"/>
        </w:numPr>
        <w:pStyle w:val="Compact"/>
      </w:pPr>
      <w:r>
        <w:rPr>
          <w:bCs/>
          <w:b/>
        </w:rPr>
        <w:t xml:space="preserve">Data Persistence Layers:</w:t>
      </w:r>
    </w:p>
    <w:p>
      <w:pPr>
        <w:numPr>
          <w:ilvl w:val="0"/>
          <w:numId w:val="1000"/>
        </w:numPr>
        <w:pStyle w:val="Compact"/>
      </w:pPr>
      <w:r>
        <w:t xml:space="preserve">A distributed database system ensures that all edits made within the</w:t>
      </w:r>
    </w:p>
    <w:p>
      <w:pPr>
        <w:numPr>
          <w:ilvl w:val="0"/>
          <w:numId w:val="1000"/>
        </w:numPr>
        <w:pStyle w:val="Compact"/>
      </w:pPr>
      <w:r>
        <w:t xml:space="preserve">Editor are saved securely and redundantly. This prevents data loss and ensures consistency across multiple devices.</w:t>
      </w:r>
    </w:p>
    <w:p>
      <w:pPr>
        <w:numPr>
          <w:ilvl w:val="0"/>
          <w:numId w:val="1001"/>
        </w:numPr>
        <w:pStyle w:val="Compact"/>
      </w:pPr>
      <w:r>
        <w:t xml:space="preserve">Edge Caching: To further enhance performance, we utilize edge caching strategies in</w:t>
      </w:r>
      <w:r>
        <w:t xml:space="preserve"> </w:t>
      </w:r>
      <w:r>
        <w:rPr>
          <w:bCs/>
          <w:b/>
        </w:rPr>
        <w:t xml:space="preserve">Germany Frankfurt</w:t>
      </w:r>
      <w:r>
        <w:t xml:space="preserve">, ensuring frequently accessed templates, fonts, and style guides are delivered quickly to end-users.</w:t>
      </w:r>
    </w:p>
    <w:bookmarkEnd w:id="21"/>
    <w:bookmarkStart w:id="22" w:name="compliance-and-data-sovereignty"/>
    <w:p>
      <w:pPr>
        <w:pStyle w:val="Heading2"/>
      </w:pPr>
      <w:r>
        <w:t xml:space="preserve">3. Compliance and Data Sovereignty</w:t>
      </w:r>
    </w:p>
    <w:p>
      <w:pPr>
        <w:pStyle w:val="FirstParagraph"/>
      </w:pPr>
      <w:r>
        <w:t xml:space="preserve">One of the most critical aspects of deploying any digital tool in Europe is adherence to strict data protection laws. The</w:t>
      </w:r>
      <w:r>
        <w:t xml:space="preserve"> </w:t>
      </w:r>
      <w:r>
        <w:rPr>
          <w:bCs/>
          <w:b/>
        </w:rPr>
        <w:t xml:space="preserve">Editor</w:t>
      </w:r>
      <w:r>
        <w:t xml:space="preserve"> must fully comply with the General Data Protection Regulation (GDPR), which imposes rigorous requirements on how personal data is collected, processed, and stored. Operating within</w:t>
      </w:r>
      <w:r>
        <w:t xml:space="preserve"> </w:t>
      </w:r>
      <w:r>
        <w:rPr>
          <w:bCs/>
          <w:b/>
        </w:rPr>
        <w:t xml:space="preserve">Germany Frankfurt ensures that all user data remains within the European Economic Area (EEA), thereby simplifying compliance efforts and building trust with users who are increasingly concerned about digital privacy.</w:t>
      </w:r>
    </w:p>
    <w:p>
      <w:pPr>
        <w:pStyle w:val="BodyText"/>
      </w:pPr>
      <w:r>
        <w:t xml:space="preserve">Data Minimization: The</w:t>
      </w:r>
      <w:r>
        <w:t xml:space="preserve"> </w:t>
      </w:r>
      <w:r>
        <w:rPr>
          <w:bCs/>
          <w:b/>
        </w:rPr>
        <w:t xml:space="preserve">Editor</w:t>
      </w:r>
      <w:r>
        <w:t xml:space="preserve"> only collects data strictly necessary for its functionality, avoiding unnecessary surveillance or tracking.</w:t>
      </w:r>
    </w:p>
    <w:p>
      <w:pPr>
        <w:pStyle w:val="BodyText"/>
      </w:pPr>
      <w:r>
        <w:t xml:space="preserve">User Consent Management: Explicit consent mechanisms have been embedded into the user interface of the</w:t>
      </w:r>
    </w:p>
    <w:p>
      <w:pPr>
        <w:pStyle w:val="BodyText"/>
      </w:pPr>
      <w:r>
        <w:t xml:space="preserve">Editor, allowing users to control their data preferences.</w:t>
      </w:r>
    </w:p>
    <w:p>
      <w:pPr>
        <w:pStyle w:val="BodyText"/>
      </w:pPr>
      <w:r>
        <w:t xml:space="preserve">Data Residency: All data generated by users in Europe is stored exclusively on servers located in</w:t>
      </w:r>
    </w:p>
    <w:p>
      <w:pPr>
        <w:pStyle w:val="BodyText"/>
      </w:pPr>
      <w:r>
        <w:t xml:space="preserve">Germany Frankfurt, ensuring that no data crosses international borders without explicit legal justification and user consent.</w:t>
      </w:r>
    </w:p>
    <w:bookmarkEnd w:id="22"/>
    <w:bookmarkStart w:id="23" w:name="security-protocols"/>
    <w:p>
      <w:pPr>
        <w:pStyle w:val="Heading2"/>
      </w:pPr>
      <w:r>
        <w:t xml:space="preserve">4. Security Protocols</w:t>
      </w:r>
    </w:p>
    <w:p>
      <w:pPr>
        <w:pStyle w:val="FirstParagraph"/>
      </w:pPr>
      <w:r>
        <w:t xml:space="preserve">Security is paramount for any professional-grade</w:t>
      </w:r>
      <w:r>
        <w:t xml:space="preserve"> </w:t>
      </w:r>
      <w:r>
        <w:rPr>
          <w:bCs/>
          <w:b/>
        </w:rPr>
        <w:t xml:space="preserve">Editor. In the context of</w:t>
      </w:r>
      <w:r>
        <w:rPr>
          <w:bCs/>
          <w:b/>
        </w:rPr>
        <w:t xml:space="preserve"> </w:t>
      </w:r>
      <w:r>
        <w:rPr>
          <w:bCs/>
          <w:b/>
          <w:bCs/>
          <w:b/>
        </w:rPr>
        <w:t xml:space="preserve">Germany Frankfurt, we employ multi-layered security protocols to protect both the infrastructure and user data. This includes end-to-end encryption for data in transit and at rest, regular penetration testing conducted by third-party security firms based in Europe, and strict access controls for administrative personnel.</w:t>
      </w:r>
      <w:r>
        <w:rPr>
          <w:bCs/>
          <w:b/>
          <w:bCs/>
          <w:b/>
        </w:rPr>
        <w:t xml:space="preserve"> </w:t>
      </w:r>
      <w:r>
        <w:rPr>
          <w:bCs/>
          <w:b/>
          <w:bCs/>
          <w:b/>
        </w:rPr>
        <w:t xml:space="preserve">Additionally, our incident response plan is tailored to meet the requirements of German cybersecurity standards (BSI-Standard). Regular audits are performed to ensure that the</w:t>
      </w:r>
      <w:r>
        <w:rPr>
          <w:bCs/>
          <w:b/>
          <w:bCs/>
          <w:b/>
        </w:rPr>
        <w:t xml:space="preserve"> </w:t>
      </w:r>
      <w:r>
        <w:rPr>
          <w:bCs/>
          <w:b/>
          <w:bCs/>
          <w:b/>
          <w:bCs/>
          <w:b/>
        </w:rPr>
        <w:t xml:space="preserve">Editor remains resilient against evolving cyber threats such as ransomware, DDoS attacks, and unauthorized access attempts. The local presence in</w:t>
      </w:r>
      <w:r>
        <w:rPr>
          <w:bCs/>
          <w:b/>
          <w:bCs/>
          <w:b/>
          <w:bCs/>
          <w:b/>
        </w:rPr>
        <w:t xml:space="preserve"> </w:t>
      </w:r>
      <w:r>
        <w:rPr>
          <w:bCs/>
          <w:b/>
          <w:bCs/>
          <w:b/>
          <w:bCs/>
          <w:b/>
          <w:bCs/>
          <w:b/>
        </w:rPr>
        <w:t xml:space="preserve">Germany Frankfurt also allows for quicker response times from our security operations center (SOC) team based in the region.</w:t>
      </w:r>
    </w:p>
    <w:bookmarkEnd w:id="23"/>
    <w:bookmarkStart w:id="24" w:name="market-implications-and-user-experience"/>
    <w:p>
      <w:pPr>
        <w:pStyle w:val="Heading2"/>
      </w:pPr>
      <w:r>
        <w:t xml:space="preserve">5. Market Implications and User Experience</w:t>
      </w:r>
    </w:p>
    <w:p>
      <w:pPr>
        <w:pStyle w:val="FirstParagraph"/>
      </w:pPr>
      <w:r>
        <w:t xml:space="preserve">By establishing a dedicated deployment of the</w:t>
      </w:r>
      <w:r>
        <w:t xml:space="preserve"> </w:t>
      </w:r>
      <w:r>
        <w:rPr>
          <w:bCs/>
          <w:b/>
        </w:rPr>
        <w:t xml:space="preserve">Editor in</w:t>
      </w:r>
      <w:r>
        <w:rPr>
          <w:bCs/>
          <w:b/>
        </w:rPr>
        <w:t xml:space="preserve"> </w:t>
      </w:r>
      <w:r>
        <w:rPr>
          <w:bCs/>
          <w:b/>
          <w:bCs/>
          <w:b/>
        </w:rPr>
        <w:t xml:space="preserve">Germany Frankfurt, we position ourselves favorably within the European market. Local businesses, educational institutions, and government agencies are more likely to adopt tools that demonstrate a clear commitment to local infrastructure and legal compliance. The improved user experience resulting from lower latency and localized support will likely drive higher adoption rates among enterprise clients who require reliable performance for critical documentation tasks.</w:t>
      </w:r>
      <w:r>
        <w:rPr>
          <w:bCs/>
          <w:b/>
          <w:bCs/>
          <w:b/>
        </w:rPr>
        <w:t xml:space="preserve"> </w:t>
      </w:r>
      <w:r>
        <w:rPr>
          <w:bCs/>
          <w:b/>
          <w:bCs/>
          <w:b/>
        </w:rPr>
        <w:t xml:space="preserve">Furthermore, this deployment supports our broader strategy of expanding our footprint in the DACH region. By providing a culturally sensitive interface that supports German language nuances, date formats, and legal terminology specific to</w:t>
      </w:r>
      <w:r>
        <w:rPr>
          <w:bCs/>
          <w:b/>
          <w:bCs/>
          <w:b/>
        </w:rPr>
        <w:t xml:space="preserve"> </w:t>
      </w:r>
      <w:r>
        <w:rPr>
          <w:bCs/>
          <w:b/>
          <w:bCs/>
          <w:b/>
          <w:bCs/>
          <w:b/>
        </w:rPr>
        <w:t xml:space="preserve">Germany Frankfurt and surrounding areas, we enhance usability and reduce friction for non-English speaking users.</w:t>
      </w:r>
    </w:p>
    <w:bookmarkEnd w:id="24"/>
    <w:bookmarkStart w:id="25" w:name="conclusion"/>
    <w:p>
      <w:pPr>
        <w:pStyle w:val="Heading2"/>
      </w:pPr>
      <w:r>
        <w:t xml:space="preserve">6. Conclusion</w:t>
      </w:r>
    </w:p>
    <w:p>
      <w:pPr>
        <w:pStyle w:val="FirstParagraph"/>
      </w:pPr>
      <w:r>
        <w:t xml:space="preserve">The deployment of the</w:t>
      </w:r>
    </w:p>
    <w:p>
      <w:pPr>
        <w:pStyle w:val="BodyText"/>
      </w:pPr>
      <w:r>
        <w:t xml:space="preserve">Editor in</w:t>
      </w:r>
    </w:p>
    <w:p>
      <w:pPr>
        <w:pStyle w:val="BodyText"/>
      </w:pPr>
      <w:r>
        <w:t xml:space="preserve">Germany Frankfurt represents a significant milestone in our global infrastructure strategy. It addresses key technical, legal, and operational challenges associated with serving the European market. Through robust local infrastructure, strict adherence to GDPR and other regulatory frameworks, enhanced security measures, and a focus on user experience tailored to local needs we are positioning the</w:t>
      </w:r>
    </w:p>
    <w:p>
      <w:pPr>
        <w:pStyle w:val="BodyText"/>
      </w:pPr>
      <w:r>
        <w:t xml:space="preserve">Editor as a leading solution for professional editing in Europe. This project not only strengthens our competitive edge but also reinforces our commitment to data privacy and reliability in one of the most important digital hubs in the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Deployment in Germany Frankfurt</dc:title>
  <dc:creator/>
  <dc:language>en</dc:language>
  <cp:keywords/>
  <dcterms:created xsi:type="dcterms:W3CDTF">2026-07-29T10:26:56Z</dcterms:created>
  <dcterms:modified xsi:type="dcterms:W3CDTF">2026-07-29T10:26:56Z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