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Editor</w:t>
      </w:r>
      <w:r>
        <w:t xml:space="preserve"> </w:t>
      </w:r>
      <w:r>
        <w:t xml:space="preserve">Implementation</w:t>
      </w:r>
      <w:r>
        <w:t xml:space="preserve"> </w:t>
      </w:r>
      <w:r>
        <w:t xml:space="preserve">in</w:t>
      </w:r>
      <w:r>
        <w:t xml:space="preserve"> </w:t>
      </w:r>
      <w:r>
        <w:t xml:space="preserve">Japan</w:t>
      </w:r>
      <w:r>
        <w:t xml:space="preserve"> </w:t>
      </w:r>
      <w:r>
        <w:t xml:space="preserve">Tokyo</w:t>
      </w:r>
    </w:p>
    <w:bookmarkStart w:id="28" w:name="X96a415d434cb58c923f62c9f414828ab13165a2"/>
    <w:p>
      <w:pPr>
        <w:pStyle w:val="Heading1"/>
      </w:pPr>
      <w:r>
        <w:t xml:space="preserve">Project Report: Advanced Digital Editor Solution Deployment in Japan Tokyo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Executive Steering Committee, Global Technology Division</w:t>
      </w:r>
    </w:p>
    <w:p>
      <w:pPr>
        <w:pStyle w:val="BodyText"/>
      </w:pPr>
      <w:r>
        <w:t xml:space="preserve">: Project Management Office (PMO)</w:t>
      </w:r>
    </w:p>
    <w:bookmarkStart w:id="20" w:name="executive-summary"/>
    <w:p>
      <w:pPr>
        <w:pStyle w:val="Heading2"/>
      </w:pPr>
      <w:r>
        <w:t xml:space="preserve">1. Executive Summary</w:t>
      </w:r>
    </w:p>
    <w:p>
      <w:pPr>
        <w:pStyle w:val="FirstParagraph"/>
      </w:pPr>
      <w:r>
        <w:t xml:space="preserve">This document serves as the comprehensive project report detailing the strategic deployment of our next-generation text and media editing software, herein referred to as the "Editor," within the metropolitan hub of Japan Tokyo. As global digital transformation accelerates, particularly in East Asia, there exists a critical need for robust, localized content creation tools that adhere to both international standards and specific regional linguistic nuances. The primary objective of this initiative was to adapt our core Editor platform for seamless integration into the high-density professional environment of Japan Tokyo. This report outlines the technical adaptations required for complex character sets (Kanji, Hiragana, Katakana), cultural compliance considerations, infrastructure challenges unique to one of the world's most connected cities, and user acceptance testing results. The successful implementation of this Editor solution in Japan Tokyo marks a significant milestone in our international expansion strategy.</w:t>
      </w:r>
    </w:p>
    <w:bookmarkEnd w:id="20"/>
    <w:bookmarkStart w:id="21" w:name="project-background-and-objectives"/>
    <w:p>
      <w:pPr>
        <w:pStyle w:val="Heading2"/>
      </w:pPr>
      <w:r>
        <w:t xml:space="preserve">2. Project Background and Objectives</w:t>
      </w:r>
    </w:p>
    <w:p>
      <w:pPr>
        <w:pStyle w:val="FirstParagraph"/>
      </w:pPr>
      <w:r>
        <w:rPr>
          <w:bCs/>
          <w:b/>
        </w:rPr>
        <w:t xml:space="preserve">Japans market dynamics:</w:t>
      </w:r>
      <w:r>
        <w:t xml:space="preserve"> </w:t>
      </w:r>
      <w:r>
        <w:t xml:space="preserve">Japan represents one of the most lucrative yet challenging markets for software localization. In Japan Tokyo, a city known for its rapid technological adoption and rigorous professional standards, businesses demand precision in communication. The traditional reliance on physical typewriters and early word processors has largely given way to sophisticated cloud-based solutions; however, many existing editors fail to handle the bidirectional nature of Japanese text processing or the specific input method editor (IME) requirements efficiently.</w:t>
      </w:r>
      <w:r>
        <w:t xml:space="preserve"> </w:t>
      </w:r>
      <w:r>
        <w:rPr>
          <w:bCs/>
          <w:b/>
        </w:rPr>
        <w:t xml:space="preserve">Project Goals:</w:t>
      </w:r>
      <w:r>
        <w:t xml:space="preserve"> </w:t>
      </w:r>
      <w:r>
        <w:t xml:space="preserve">1. To ensure 100% compatibility with Japanese Input Method Editors (IMEs), including Microsoft IME, Google Japanese Input, and native macOS/Windows solutions.</w:t>
      </w:r>
    </w:p>
    <w:p>
      <w:pPr>
        <w:pStyle w:val="BodyText"/>
      </w:pPr>
      <w:r>
        <w:t xml:space="preserve">2. To optimize the Editor interface for Right-to-Left or mixed-script layouts where necessary, although primarily focusing on vertical text writing modes (tategaki) which remain relevant in certain publishing contexts in Japan Tokyo.</w:t>
      </w:r>
      <w:r>
        <w:t xml:space="preserve"> </w:t>
      </w:r>
      <w:r>
        <w:t xml:space="preserve">3. To establish a local support infrastructure within Japan Tokyo to provide real-time assistance, reducing latency and enhancing user trust.</w:t>
      </w:r>
    </w:p>
    <w:bookmarkEnd w:id="21"/>
    <w:bookmarkStart w:id="22" w:name="technical-implementation-details"/>
    <w:p>
      <w:pPr>
        <w:pStyle w:val="Heading2"/>
      </w:pPr>
      <w:r>
        <w:t xml:space="preserve">3. Technical Implementation Details</w:t>
      </w:r>
    </w:p>
    <w:p>
      <w:pPr>
        <w:pStyle w:val="FirstParagraph"/>
      </w:pPr>
      <w:r>
        <w:rPr>
          <w:bCs/>
          <w:b/>
        </w:rPr>
        <w:t xml:space="preserve">Character Encoding and Unicode Compliance:</w:t>
      </w:r>
      <w:r>
        <w:t xml:space="preserve"> </w:t>
      </w:r>
      <w:r>
        <w:t xml:space="preserve">The core engineering challenge involved ensuring that the Editor fully supports Unicode Standard Version 15.0, which is essential for representing the extensive range of characters used in Japanese writing systems. We implemented a specialized rendering engine that handles complex grapheme clusters correctly. This ensures that combining marks and kana variants display accurately regardless of the font stack used in Japan Tokyo corporate environments.</w:t>
      </w:r>
    </w:p>
    <w:p>
      <w:pPr>
        <w:pStyle w:val="BodyText"/>
      </w:pPr>
      <w:r>
        <w:rPr>
          <w:bCs/>
          <w:b/>
        </w:rPr>
        <w:t xml:space="preserve">IME Integration:</w:t>
      </w:r>
      <w:r>
        <w:t xml:space="preserve"> </w:t>
      </w:r>
      <w:r>
        <w:t xml:space="preserve">Standard text input mechanisms were insufficient for our target demographic in Japan Tokyo. Therefore, we developed a proprietary API bridge that communicates directly with system-level IMEs. This allows users to type phonetically and convert characters without interruption in the Editor workflow. Extensive testing was conducted to prevent "input lag," a common complaint among power users in high-pressure editorial environments found throughout Japan Tokyo.</w:t>
      </w:r>
    </w:p>
    <w:p>
      <w:pPr>
        <w:pStyle w:val="BodyText"/>
      </w:pPr>
      <w:r>
        <w:rPr>
          <w:bCs/>
          <w:b/>
        </w:rPr>
        <w:t xml:space="preserve">Vertical Writing Support:</w:t>
      </w:r>
      <w:r>
        <w:t xml:space="preserve"> </w:t>
      </w:r>
      <w:r>
        <w:t xml:space="preserve">While horizontal writing (yokogaki) is dominant in digital media, vertical writing (tategaki) remains crucial for books, newspapers, and formal documents. We introduced a toggle feature within the Editor that adjusts paragraph flow, punctuation placement (such as using 、 instead of ,), and line breaks to conform to traditional Japanese typographic standards.</w:t>
      </w:r>
    </w:p>
    <w:bookmarkEnd w:id="22"/>
    <w:bookmarkStart w:id="23" w:name="Xdab7c92fec8f0ae8de4445f90fb41233a9acbf6"/>
    <w:p>
      <w:pPr>
        <w:pStyle w:val="Heading2"/>
      </w:pPr>
      <w:r>
        <w:t xml:space="preserve">4. Cultural and Operational Considerations in Japan Tokyo</w:t>
      </w:r>
    </w:p>
    <w:p>
      <w:pPr>
        <w:pStyle w:val="FirstParagraph"/>
      </w:pPr>
      <w:r>
        <w:rPr>
          <w:bCs/>
          <w:b/>
        </w:rPr>
        <w:t xml:space="preserve">Data Privacy and Sovereignty:</w:t>
      </w:r>
      <w:r>
        <w:t xml:space="preserve"> </w:t>
      </w:r>
      <w:r>
        <w:t xml:space="preserve">Japan has stringent data protection laws, including the Act on the Protection of Personal Information (APPI). The Editor infrastructure was configured to store user metadata locally within servers located in Japan Tokyo. This ensures compliance with local regulations and addresses security concerns regarding cross-border data transfer, which is a paramount concern for Japanese enterprises.</w:t>
      </w:r>
    </w:p>
    <w:p>
      <w:pPr>
        <w:pStyle w:val="BodyText"/>
      </w:pPr>
      <w:r>
        <w:rPr>
          <w:bCs/>
          <w:b/>
        </w:rPr>
        <w:t xml:space="preserve">User Interface Localization:</w:t>
      </w:r>
      <w:r>
        <w:t xml:space="preserve"> </w:t>
      </w:r>
      <w:r>
        <w:t xml:space="preserve">Beyond mere translation, the UI of the Editor was culturally adapted. Terminology was vetted by native linguists residing in Japan Tokyo to ensure that terms like "Save," "Export," and "Preview" resonate with professional expectations. Furthermore, we adjusted color palettes and iconography to align with local aesthetic preferences, which tend toward minimalism and clarity in professional software design.</w:t>
      </w:r>
    </w:p>
    <w:bookmarkEnd w:id="23"/>
    <w:bookmarkStart w:id="24" w:name="user-acceptance-testing-uat-results"/>
    <w:p>
      <w:pPr>
        <w:pStyle w:val="Heading2"/>
      </w:pPr>
      <w:r>
        <w:t xml:space="preserve">5. User Acceptance Testing (UAT) Results</w:t>
      </w:r>
    </w:p>
    <w:p>
      <w:pPr>
        <w:pStyle w:val="FirstParagraph"/>
      </w:pPr>
      <w:r>
        <w:t xml:space="preserve">The UAT phase involved 500 beta testers drawn from publishing houses, news agencies, and corporate communications departments across Japan Tokyo. Key metrics included:</w:t>
      </w:r>
    </w:p>
    <w:p>
      <w:pPr>
        <w:pStyle w:val="BodyText"/>
      </w:pPr>
      <w:r>
        <w:rPr>
          <w:bCs/>
          <w:b/>
        </w:rPr>
        <w:t xml:space="preserve">Type Accuracy:</w:t>
      </w:r>
      <w:r>
        <w:t xml:space="preserve"> </w:t>
      </w:r>
      <w:r>
        <w:t xml:space="preserve">99.8% accuracy in IME conversion.</w:t>
      </w:r>
    </w:p>
    <w:p>
      <w:pPr>
        <w:pStyle w:val="BodyText"/>
      </w:pPr>
      <w:r>
        <w:rPr>
          <w:bCs/>
          <w:b/>
        </w:rPr>
        <w:t xml:space="preserve">Loading Speed:</w:t>
      </w:r>
      <w:r>
        <w:t xml:space="preserve"> </w:t>
      </w:r>
      <w:r>
        <w:t xml:space="preserve">Average launch time reduced to under 2 seconds on mid-range hardware common in Japan Tokyo offices.</w:t>
      </w:r>
    </w:p>
    <w:p>
      <w:pPr>
        <w:pStyle w:val="BodyText"/>
      </w:pPr>
      <w:r>
        <w:rPr>
          <w:bCs/>
          <w:b/>
        </w:rPr>
        <w:t xml:space="preserve">User Satisfaction Score (NPS):: A score of +45, indicating strong likelihood of recommendation among the local professional community.</w:t>
      </w:r>
    </w:p>
    <w:p>
      <w:pPr>
        <w:pStyle w:val="BodyText"/>
      </w:pPr>
      <w:r>
        <w:t xml:space="preserve">Feedback highlighted that the vertical text mode was particularly well-received by literary editors, while the IME stability was praised by newsroom journalists operating under tight deadlines in Japan Tokyo.</w:t>
      </w:r>
    </w:p>
    <w:bookmarkEnd w:id="24"/>
    <w:bookmarkStart w:id="25" w:name="challenges-and-mitigation-strategies"/>
    <w:p>
      <w:pPr>
        <w:pStyle w:val="Heading2"/>
      </w:pPr>
      <w:r>
        <w:t xml:space="preserve">6. Challenges and Mitigation Strategies</w:t>
      </w:r>
    </w:p>
    <w:p>
      <w:pPr>
        <w:pStyle w:val="FirstParagraph"/>
      </w:pPr>
      <w:r>
        <w:rPr>
          <w:bCs/>
          <w:b/>
        </w:rPr>
        <w:t xml:space="preserve">Lag during large document processing:</w:t>
      </w:r>
      <w:r>
        <w:t xml:space="preserve"> </w:t>
      </w:r>
      <w:r>
        <w:t xml:space="preserve">Early iterations of the Editor struggled with documents exceeding 50,000 words due to real-time grammar checking features interacting poorly with complex Japanese morphological analysis. We mitigated this by implementing asynchronous processing for non-critical syntax checks, ensuring that typing performance remained fluid even in Japan Tokyo’s high-volume editorial workflows.</w:t>
      </w:r>
    </w:p>
    <w:p>
      <w:pPr>
        <w:pStyle w:val="BodyText"/>
      </w:pPr>
      <w:r>
        <w:rPr>
          <w:bCs/>
          <w:b/>
        </w:rPr>
        <w:t xml:space="preserve">Network Latency:</w:t>
      </w:r>
      <w:r>
        <w:t xml:space="preserve"> </w:t>
      </w:r>
      <w:r>
        <w:t xml:space="preserve">Despite excellent connectivity in central Japan Tokyo, peripheral areas sometimes experienced spikes. We introduced a local caching mechanism within the Editor application to allow offline functionality, syncing changes when connectivity is restored.</w:t>
      </w:r>
    </w:p>
    <w:bookmarkEnd w:id="25"/>
    <w:bookmarkStart w:id="26" w:name="conclusion-and-recommendations"/>
    <w:p>
      <w:pPr>
        <w:pStyle w:val="Heading2"/>
      </w:pPr>
      <w:r>
        <w:t xml:space="preserve">7. Conclusion and Recommendations</w:t>
      </w:r>
    </w:p>
    <w:p>
      <w:pPr>
        <w:pStyle w:val="FirstParagraph"/>
      </w:pPr>
      <w:r>
        <w:t xml:space="preserve">The deployment of the Editor in Japan Tokyo has been deemed a success based on technical performance metrics and user feedback. The project team successfully navigated the complexities of Japanese language processing, cultural nuances, and regulatory requirements. This localized version of the Editor is now positioned to capture significant market share in the East Asian digital publishing sector.</w:t>
      </w:r>
    </w:p>
    <w:p>
      <w:pPr>
        <w:pStyle w:val="BodyText"/>
      </w:pPr>
      <w:r>
        <w:rPr>
          <w:bCs/>
          <w:b/>
        </w:rPr>
        <w:t xml:space="preserve">Recommendations:</w:t>
      </w:r>
      <w:r>
        <w:t xml:space="preserve"> </w:t>
      </w:r>
      <w:r>
        <w:t xml:space="preserve">1. Continue to iterate on AI-driven translation features within the Editor, specifically for business correspondence styles common in Japan Tokyo.</w:t>
      </w:r>
      <w:r>
        <w:t xml:space="preserve"> </w:t>
      </w:r>
      <w:r>
        <w:t xml:space="preserve">2. Expand marketing efforts beyond central wards of Japan Tokyo to regional hubs like Yokohama and Saitama.</w:t>
      </w:r>
    </w:p>
    <w:p>
      <w:pPr>
        <w:pStyle w:val="BodyText"/>
      </w:pPr>
      <w:r>
        <w:t xml:space="preserve">3. Establish a dedicated customer success team based in Japan Tokyo to foster long-term relationships with key enterprise clients.</w:t>
      </w:r>
    </w:p>
    <w:bookmarkEnd w:id="26"/>
    <w:bookmarkStart w:id="27" w:name="final-statement"/>
    <w:p>
      <w:pPr>
        <w:pStyle w:val="Heading2"/>
      </w:pPr>
      <w:r>
        <w:t xml:space="preserve">8. Final Statement</w:t>
      </w:r>
    </w:p>
    <w:p>
      <w:pPr>
        <w:pStyle w:val="FirstParagraph"/>
      </w:pPr>
      <w:r>
        <w:t xml:space="preserve">This project underscores our commitment to delivering software that respects and effectively serves the linguistic and cultural identity of Japan Tokyo. The Editor is not just a tool; it is a bridge connecting global content creators with the sophisticated demands of the Japanese market.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Editor Implementation in Japan Tokyo</dc:title>
  <dc:creator/>
  <dc:language>en</dc:language>
  <cp:keywords/>
  <dcterms:created xsi:type="dcterms:W3CDTF">2026-07-29T08:49:43Z</dcterms:created>
  <dcterms:modified xsi:type="dcterms:W3CDTF">2026-07-29T08:49:43Z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