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Editorial</w:t>
      </w:r>
      <w:r>
        <w:t xml:space="preserve"> </w:t>
      </w:r>
      <w:r>
        <w:t xml:space="preserve">Infrastructure</w:t>
      </w:r>
      <w:r>
        <w:t xml:space="preserve"> </w:t>
      </w:r>
      <w:r>
        <w:t xml:space="preserve">in</w:t>
      </w:r>
      <w:r>
        <w:t xml:space="preserve"> </w:t>
      </w:r>
      <w:r>
        <w:t xml:space="preserve">Netherlands,</w:t>
      </w:r>
      <w:r>
        <w:t xml:space="preserve"> </w:t>
      </w:r>
      <w:r>
        <w:t xml:space="preserve">Amsterdam</w:t>
      </w:r>
    </w:p>
    <w:bookmarkStart w:id="28" w:name="X090f11f176b9ec3a35c36c8a8139174dedb183c"/>
    <w:p>
      <w:pPr>
        <w:pStyle w:val="Heading1"/>
      </w:pPr>
      <w:r>
        <w:t xml:space="preserve">Project Report: Advanced Editorial Infrastructure</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Board of Directors</w:t>
      </w:r>
    </w:p>
    <w:bookmarkStart w:id="20" w:name="fromted-project-management-office-pmo"/>
    <w:p>
      <w:pPr>
        <w:pStyle w:val="Heading3"/>
      </w:pPr>
      <w:r>
        <w:rPr>
          <w:bCs/>
          <w:b/>
        </w:rPr>
        <w:t xml:space="preserve">From:</w:t>
      </w:r>
      <w:r>
        <w:t xml:space="preserve">Ted Project Management Office (PMO)</w:t>
      </w:r>
    </w:p>
    <w:p>
      <w:pPr>
        <w:pStyle w:val="FirstParagraph"/>
      </w:pPr>
      <w:r>
        <w:t xml:space="preserve">This</w:t>
      </w:r>
      <w:r>
        <w:t xml:space="preserve"> </w:t>
      </w:r>
      <w:r>
        <w:rPr>
          <w:bCs/>
          <w:b/>
        </w:rPr>
        <w:t xml:space="preserve">Project Report</w:t>
      </w:r>
      <w:r>
        <w:t xml:space="preserve">" serves as a comprehensive overview, analysis, and strategic recommendation regarding the deployment of a next-generation digital</w:t>
      </w:r>
      <w:r>
        <w:t xml:space="preserve"> </w:t>
      </w:r>
      <w:r>
        <w:rPr>
          <w:bCs/>
          <w:b/>
        </w:rPr>
        <w:t xml:space="preserve">Editor</w:t>
      </w:r>
      <w:r>
        <w:t xml:space="preserve">" system specifically tailored for operations within</w:t>
      </w:r>
      <w:r>
        <w:t xml:space="preserve"> </w:t>
      </w:r>
      <w:r>
        <w:rPr>
          <w:bCs/>
          <w:b/>
        </w:rPr>
        <w:t xml:space="preserve">Netherlands Amsterdam</w:t>
      </w:r>
      <w:r>
        <w:t xml:space="preserve">. The primary objective of this initiative is to modernize content production workflows, enhance collaborative capabilities among distributed teams in the Dutch capital, and ensure strict compliance with European Union data sovereignty laws. As media consumption habits evolve rapidly across Europe, the need for a robust, agile, and intelligent editing platform has never been more critical. This document outlines the technical requirements, strategic rationale implementation phases associated with deploying this</w:t>
      </w:r>
      <w:r>
        <w:t xml:space="preserve"> </w:t>
      </w:r>
      <w:r>
        <w:rPr>
          <w:bCs/>
          <w:b/>
        </w:rPr>
        <w:t xml:space="preserve">Editor</w:t>
      </w:r>
      <w:r>
        <w:t xml:space="preserve">" in</w:t>
      </w:r>
      <w:r>
        <w:t xml:space="preserve"> </w:t>
      </w:r>
      <w:r>
        <w:rPr>
          <w:bCs/>
          <w:b/>
        </w:rPr>
        <w:t xml:space="preserve">Netherlands Amsterdam</w:t>
      </w:r>
      <w:r>
        <w:t xml:space="preserve">.</w:t>
      </w:r>
    </w:p>
    <w:bookmarkEnd w:id="20"/>
    <w:bookmarkStart w:id="21" w:name="executive-summary"/>
    <w:p>
      <w:pPr>
        <w:pStyle w:val="Heading2"/>
      </w:pPr>
      <w:r>
        <w:t xml:space="preserve">1. Executive Summary</w:t>
      </w:r>
    </w:p>
    <w:p>
      <w:pPr>
        <w:pStyle w:val="FirstParagraph"/>
      </w:pPr>
      <w:r>
        <w:br/>
      </w:r>
      <w:r>
        <w:t xml:space="preserve">The modern media landscape demands a convergence of speed, accuracy, and interoperability. In recent months internal audits revealed significant bottlenecks in the current legacy systems used by our editorial teams based in</w:t>
      </w:r>
      <w:r>
        <w:t xml:space="preserve"> </w:t>
      </w:r>
      <w:r>
        <w:rPr>
          <w:bCs/>
          <w:b/>
        </w:rPr>
        <w:t xml:space="preserve">Netherlands Amsterdam</w:t>
      </w:r>
      <w:r>
        <w:t xml:space="preserve">. These bottlenecks result in delayed publication times, inconsistent brand messaging across channels, and increased operational costs due to manual data entry errors. The proposed solution involves the adoption of a cloud-native CMS-Integrated</w:t>
      </w:r>
      <w:r>
        <w:t xml:space="preserve"> </w:t>
      </w:r>
      <w:r>
        <w:rPr>
          <w:bCs/>
          <w:b/>
        </w:rPr>
        <w:t xml:space="preserve">Editor</w:t>
      </w:r>
      <w:r>
        <w:t xml:space="preserve">" that supports real-time collaboration, AI-assisted proofing features and localized content management specific to the linguistic nuances of Dutch audiences. By focusing on this upgrade within</w:t>
      </w:r>
      <w:r>
        <w:t xml:space="preserve"> </w:t>
      </w:r>
      <w:r>
        <w:rPr>
          <w:bCs/>
          <w:b/>
        </w:rPr>
        <w:t xml:space="preserve">Netherlands Amsterdam</w:t>
      </w:r>
      <w:r>
        <w:t xml:space="preserve">, we aim to create a hub of excellence that can serve as a model for other European operations.</w:t>
      </w:r>
      <w:r>
        <w:br/>
      </w:r>
    </w:p>
    <w:bookmarkEnd w:id="21"/>
    <w:bookmarkStart w:id="22" w:name="strategic-rationale-and-context"/>
    <w:p>
      <w:pPr>
        <w:pStyle w:val="Heading2"/>
      </w:pPr>
      <w:r>
        <w:t xml:space="preserve">2. Strategic Rationale and Context</w:t>
      </w:r>
    </w:p>
    <w:p>
      <w:pPr>
        <w:pStyle w:val="FirstParagraph"/>
      </w:pPr>
      <w:r>
        <w:br/>
      </w:r>
      <w:r>
        <w:t xml:space="preserve">### 2.1 The Importance of Localized Expertise in Netherlands Amsterdam</w:t>
      </w:r>
      <w:r>
        <w:br/>
      </w:r>
      <w:r>
        <w:rPr>
          <w:bCs/>
          <w:b/>
        </w:rPr>
        <w:t xml:space="preserve">Netherlands Amsterdam</w:t>
      </w:r>
      <w:r>
        <w:t xml:space="preserve">" is not merely an operational node; it is a cultural and linguistic gateway to the Low Countries. Content produced here must resonate with local sensibilities, adhere to specific journalistic standards prevalent in the Dutch media landscape, and respect GDPR regulations strictly. A generic global</w:t>
      </w:r>
      <w:r>
        <w:t xml:space="preserve"> </w:t>
      </w:r>
      <w:r>
        <w:rPr>
          <w:bCs/>
          <w:b/>
        </w:rPr>
        <w:t xml:space="preserve">Editor</w:t>
      </w:r>
      <w:r>
        <w:t xml:space="preserve">" tool often fails to capture these subtleties. Therefore, selecting or configuring an</w:t>
      </w:r>
      <w:r>
        <w:t xml:space="preserve"> </w:t>
      </w:r>
      <w:r>
        <w:rPr>
          <w:bCs/>
          <w:b/>
        </w:rPr>
        <w:t xml:space="preserve">Editor</w:t>
      </w:r>
      <w:r>
        <w:t xml:space="preserve">" that offers granular control over localization settings is paramount.</w:t>
      </w:r>
      <w:r>
        <w:br/>
      </w:r>
      <w:r>
        <w:t xml:space="preserve">### 2.2 Enhancing Editorial Efficiency</w:t>
      </w:r>
      <w:r>
        <w:br/>
      </w:r>
      <w:r>
        <w:t xml:space="preserve">Current workflows require editors to switch between multiple disparate tools for drafting, formatting, SEO optimization and asset management. This fragmentation leads to context-switching fatigue and reduced productivity. The new</w:t>
      </w:r>
      <w:r>
        <w:t xml:space="preserve"> </w:t>
      </w:r>
      <w:r>
        <w:rPr>
          <w:bCs/>
          <w:b/>
        </w:rPr>
        <w:t xml:space="preserve">Editor</w:t>
      </w:r>
      <w:r>
        <w:t xml:space="preserve">" will unify these functions into a single pane of glass interface accessible from any device within the offices in</w:t>
      </w:r>
      <w:r>
        <w:t xml:space="preserve"> </w:t>
      </w:r>
      <w:r>
        <w:rPr>
          <w:bCs/>
          <w:b/>
        </w:rPr>
        <w:t xml:space="preserve">Netherlands Amsterdam</w:t>
      </w:r>
      <w:r>
        <w:t xml:space="preserve">".</w:t>
      </w:r>
      <w:r>
        <w:br/>
      </w:r>
    </w:p>
    <w:bookmarkEnd w:id="22"/>
    <w:bookmarkStart w:id="23" w:name="Xaa220d4751379a683068048dcd4c9b9c84e51e3"/>
    <w:p>
      <w:pPr>
        <w:pStyle w:val="Heading2"/>
      </w:pPr>
      <w:r>
        <w:t xml:space="preserve">3. Functional Requirements for the Editor System</w:t>
      </w:r>
    </w:p>
    <w:p>
      <w:pPr>
        <w:pStyle w:val="FirstParagraph"/>
      </w:pPr>
      <w:r>
        <w:br/>
      </w:r>
      <w:r>
        <w:t xml:space="preserve">To meet the high standards expected by our stakeholders in</w:t>
      </w:r>
      <w:r>
        <w:t xml:space="preserve"> </w:t>
      </w:r>
      <w:r>
        <w:rPr>
          <w:bCs/>
          <w:b/>
        </w:rPr>
        <w:t xml:space="preserve">Netherlands Amsterdam</w:t>
      </w:r>
      <w:r>
        <w:t xml:space="preserve">", the proposed</w:t>
      </w:r>
      <w:r>
        <w:t xml:space="preserve"> </w:t>
      </w:r>
      <w:r>
        <w:rPr>
          <w:bCs/>
          <w:b/>
        </w:rPr>
        <w:t xml:space="preserve">Editor</w:t>
      </w:r>
      <w:r>
        <w:t xml:space="preserve">" must satisfy several key functional criteria:</w:t>
      </w:r>
      <w:r>
        <w:br/>
      </w:r>
    </w:p>
    <w:p>
      <w:pPr>
        <w:numPr>
          <w:ilvl w:val="0"/>
          <w:numId w:val="1001"/>
        </w:numPr>
        <w:pStyle w:val="Compact"/>
      </w:pPr>
      <w:r>
        <w:rPr>
          <w:bCs/>
          <w:b/>
        </w:rPr>
        <w:t xml:space="preserve">Real-Time Collaborative Editing:</w:t>
      </w:r>
      <w:r>
        <w:t xml:space="preserve">Ted teams often work asynchronously across different time zones. The platform must support simultaneous editing with clear version history and comment threads.</w:t>
      </w:r>
    </w:p>
    <w:p>
      <w:pPr>
        <w:numPr>
          <w:ilvl w:val="0"/>
          <w:numId w:val="1001"/>
        </w:numPr>
        <w:pStyle w:val="Compact"/>
      </w:pPr>
      <w:r>
        <w:t xml:space="preserve">Multilingual Support &amp; Localization:Dutch grammar rules are complex. The</w:t>
      </w:r>
      <w:r>
        <w:t xml:space="preserve"> </w:t>
      </w:r>
      <w:r>
        <w:rPr>
          <w:bCs/>
          <w:b/>
        </w:rPr>
        <w:t xml:space="preserve">Editor</w:t>
      </w:r>
      <w:r>
        <w:t xml:space="preserve">" must include robust spell-checking for both Dutch (NL) and English, along with terminology management tools to maintain brand consistency.</w:t>
      </w:r>
    </w:p>
    <w:p>
      <w:pPr>
        <w:numPr>
          <w:ilvl w:val="0"/>
          <w:numId w:val="1001"/>
        </w:numPr>
        <w:pStyle w:val="Compact"/>
      </w:pPr>
      <w:r>
        <w:t xml:space="preserve">SEO and Accessibility Integration:Built-in tools for analyzing readability scores, keyword density, and accessibility compliance (WCAG 2.1 standards) are required to ensure content performs well in search engines and is inclusive.</w:t>
      </w:r>
    </w:p>
    <w:p>
      <w:pPr>
        <w:numPr>
          <w:ilvl w:val="0"/>
          <w:numId w:val="1001"/>
        </w:numPr>
        <w:pStyle w:val="Compact"/>
      </w:pPr>
      <w:r>
        <w:t xml:space="preserve">Multimedia Asset Management:Integrated storage and tagging for images, video clips, and audio files directly within the editing environment to streamline multimedia storytelling.</w:t>
      </w:r>
    </w:p>
    <w:p>
      <w:pPr>
        <w:numPr>
          <w:ilvl w:val="0"/>
          <w:numId w:val="1001"/>
        </w:numPr>
        <w:pStyle w:val="Compact"/>
      </w:pPr>
      <w:r>
        <w:t xml:space="preserve">Data Residency Compliance:All data processed by the</w:t>
      </w:r>
      <w:r>
        <w:t xml:space="preserve"> </w:t>
      </w:r>
      <w:r>
        <w:rPr>
          <w:bCs/>
          <w:b/>
        </w:rPr>
        <w:t xml:space="preserve">Editor</w:t>
      </w:r>
      <w:r>
        <w:t xml:space="preserve">" must reside on servers located within the EU/EEA to comply with GDPR requirements specific to operations in</w:t>
      </w:r>
      <w:r>
        <w:t xml:space="preserve"> </w:t>
      </w:r>
      <w:r>
        <w:rPr>
          <w:bCs/>
          <w:b/>
        </w:rPr>
        <w:t xml:space="preserve">Netherlands Amsterdam</w:t>
      </w:r>
      <w:r>
        <w:t xml:space="preserve">".</w:t>
      </w:r>
    </w:p>
    <w:p>
      <w:pPr>
        <w:pStyle w:val="FirstParagraph"/>
      </w:pPr>
      <w:r>
        <w:br/>
      </w:r>
    </w:p>
    <w:bookmarkEnd w:id="23"/>
    <w:bookmarkStart w:id="24" w:name="X642485d70a17f9c06936f945a5bef6abef35172"/>
    <w:p>
      <w:pPr>
        <w:pStyle w:val="Heading2"/>
      </w:pPr>
      <w:r>
        <w:t xml:space="preserve">4. Implementation Strategy for Netherlands Amsterdam Operations</w:t>
      </w:r>
    </w:p>
    <w:p>
      <w:pPr>
        <w:pStyle w:val="FirstParagraph"/>
      </w:pPr>
      <w:r>
        <w:br/>
      </w:r>
      <w:r>
        <w:t xml:space="preserve">The implementation will follow a phased approach designed to minimize disruption while maximizing early wins.</w:t>
      </w:r>
      <w:r>
        <w:br/>
      </w:r>
    </w:p>
    <w:p>
      <w:pPr>
        <w:numPr>
          <w:ilvl w:val="0"/>
          <w:numId w:val="1002"/>
        </w:numPr>
        <w:pStyle w:val="Compact"/>
      </w:pPr>
      <w:r>
        <w:t xml:space="preserve">Phase 1 Assessment and Vendor Selection:We are currently evaluating three top-tier vendors whose solutions offer superior localization features. A pilot group in</w:t>
      </w:r>
      <w:r>
        <w:t xml:space="preserve"> </w:t>
      </w:r>
      <w:r>
        <w:rPr>
          <w:bCs/>
          <w:b/>
        </w:rPr>
        <w:t xml:space="preserve">Netherlands Amsterdam</w:t>
      </w:r>
      <w:r>
        <w:t xml:space="preserve">" will provide feedback on usability.</w:t>
      </w:r>
    </w:p>
    <w:p>
      <w:pPr>
        <w:numPr>
          <w:ilvl w:val="0"/>
          <w:numId w:val="1002"/>
        </w:numPr>
        <w:pStyle w:val="Compact"/>
      </w:pPr>
      <w:r>
        <w:t xml:space="preserve">Phase 2 Customization and Integration:The chosen</w:t>
      </w:r>
      <w:r>
        <w:t xml:space="preserve"> </w:t>
      </w:r>
      <w:r>
        <w:rPr>
          <w:bCs/>
          <w:b/>
        </w:rPr>
        <w:t xml:space="preserve">Editor</w:t>
      </w:r>
      <w:r>
        <w:t xml:space="preserve">" will be customized to integrate with our existing DAM (Digital Asset Management) system and marketing automation platforms used by the Amsterdam office.</w:t>
      </w:r>
    </w:p>
    <w:p>
      <w:pPr>
        <w:numPr>
          <w:ilvl w:val="0"/>
          <w:numId w:val="1002"/>
        </w:numPr>
        <w:pStyle w:val="Compact"/>
      </w:pPr>
      <w:r>
        <w:t xml:space="preserve">Phase 3 Training and Change Management:A comprehensive training program will be developed for all editors in</w:t>
      </w:r>
      <w:r>
        <w:t xml:space="preserve"> </w:t>
      </w:r>
      <w:r>
        <w:rPr>
          <w:bCs/>
          <w:b/>
        </w:rPr>
        <w:t xml:space="preserve">Netherlands Amsterdam</w:t>
      </w:r>
      <w:r>
        <w:t xml:space="preserve">". This includes workshops on new features, data security protocols, and best practices for digital storytelling.</w:t>
      </w:r>
    </w:p>
    <w:p>
      <w:pPr>
        <w:numPr>
          <w:ilvl w:val="0"/>
          <w:numId w:val="1002"/>
        </w:numPr>
        <w:pStyle w:val="Compact"/>
      </w:pPr>
      <w:r>
        <w:t xml:space="preserve">Phase 4 Full Deployment:The system will go live globally after successful stabilization in the Netherlands pilot region.</w:t>
      </w:r>
    </w:p>
    <w:p>
      <w:pPr>
        <w:pStyle w:val="FirstParagraph"/>
      </w:pPr>
      <w:r>
        <w:br/>
      </w:r>
    </w:p>
    <w:bookmarkEnd w:id="24"/>
    <w:bookmarkStart w:id="25" w:name="expected-outcomes-and-benefits"/>
    <w:p>
      <w:pPr>
        <w:pStyle w:val="Heading2"/>
      </w:pPr>
      <w:r>
        <w:t xml:space="preserve">5. Expected Outcomes and Benefits</w:t>
      </w:r>
    </w:p>
    <w:p>
      <w:pPr>
        <w:pStyle w:val="FirstParagraph"/>
      </w:pPr>
      <w:r>
        <w:br/>
      </w:r>
      <w:r>
        <w:t xml:space="preserve">Upon full deployment, we anticipate several measurable improvements:</w:t>
      </w:r>
    </w:p>
    <w:p>
      <w:pPr>
        <w:numPr>
          <w:ilvl w:val="0"/>
          <w:numId w:val="1003"/>
        </w:numPr>
        <w:pStyle w:val="Compact"/>
      </w:pPr>
      <w:r>
        <w:t xml:space="preserve">Productivity Increase:A projected 30% reduction in time-to-publish due to streamlined workflows.</w:t>
      </w:r>
    </w:p>
    <w:p>
      <w:pPr>
        <w:numPr>
          <w:ilvl w:val="0"/>
          <w:numId w:val="1003"/>
        </w:numPr>
        <w:pStyle w:val="Compact"/>
      </w:pPr>
      <w:r>
        <w:t xml:space="preserve">Error Reduction:A significant decrease in editorial errors thanks to AI-driven suggestions and standardized templates within the</w:t>
      </w:r>
      <w:r>
        <w:t xml:space="preserve"> </w:t>
      </w:r>
      <w:r>
        <w:rPr>
          <w:bCs/>
          <w:b/>
        </w:rPr>
        <w:t xml:space="preserve">Editor</w:t>
      </w:r>
      <w:r>
        <w:t xml:space="preserve">".</w:t>
      </w:r>
    </w:p>
    <w:p>
      <w:pPr>
        <w:numPr>
          <w:ilvl w:val="0"/>
          <w:numId w:val="1003"/>
        </w:numPr>
        <w:pStyle w:val="Compact"/>
      </w:pPr>
      <w:r>
        <w:t xml:space="preserve">Enhanced Collaboration:Better coordination between writers, designers, and editors based in</w:t>
      </w:r>
      <w:r>
        <w:t xml:space="preserve"> </w:t>
      </w:r>
      <w:r>
        <w:rPr>
          <w:bCs/>
          <w:b/>
        </w:rPr>
        <w:t xml:space="preserve">Netherlands Amsterdam</w:t>
      </w:r>
      <w:r>
        <w:t xml:space="preserve">" through shared workspaces.</w:t>
      </w:r>
    </w:p>
    <w:p>
      <w:pPr>
        <w:numPr>
          <w:ilvl w:val="0"/>
          <w:numId w:val="1003"/>
        </w:numPr>
        <w:pStyle w:val="Compact"/>
      </w:pPr>
      <w:r>
        <w:t xml:space="preserve">Improved Compliance:Auditable trails for all content changes ensure we meet regulatory standards effortlessly.</w:t>
      </w:r>
    </w:p>
    <w:p>
      <w:pPr>
        <w:pStyle w:val="FirstParagraph"/>
      </w:pPr>
      <w:r>
        <w:br/>
      </w:r>
    </w:p>
    <w:bookmarkEnd w:id="25"/>
    <w:bookmarkStart w:id="26" w:name="risk-assessment-and-mitigation"/>
    <w:p>
      <w:pPr>
        <w:pStyle w:val="Heading2"/>
      </w:pPr>
      <w:r>
        <w:t xml:space="preserve">6. Risk Assessment and Mitigation</w:t>
      </w:r>
    </w:p>
    <w:p>
      <w:pPr>
        <w:pStyle w:val="FirstParagraph"/>
      </w:pPr>
      <w:r>
        <w:br/>
      </w:r>
      <w:r>
        <w:t xml:space="preserve">While the benefits are substantial, risks exist. The primary risk is user resistance to change among senior editors accustomed to legacy tools in</w:t>
      </w:r>
      <w:r>
        <w:t xml:space="preserve"> </w:t>
      </w:r>
      <w:r>
        <w:rPr>
          <w:bCs/>
          <w:b/>
        </w:rPr>
        <w:t xml:space="preserve">Netherlands Amsterdam</w:t>
      </w:r>
      <w:r>
        <w:t xml:space="preserve">". To mitigate this, we have allocated budget for dedicated support champions who will assist users during the transition period. Another risk involves technical downtime during migration; however, a parallel running strategy will ensure continuity of operations.</w:t>
      </w:r>
      <w:r>
        <w:br/>
      </w:r>
    </w:p>
    <w:bookmarkEnd w:id="26"/>
    <w:bookmarkStart w:id="27" w:name="conclusion"/>
    <w:p>
      <w:pPr>
        <w:pStyle w:val="Heading2"/>
      </w:pPr>
      <w:r>
        <w:t xml:space="preserve">7. Conclusion</w:t>
      </w:r>
    </w:p>
    <w:p>
      <w:pPr>
        <w:pStyle w:val="FirstParagraph"/>
      </w:pPr>
      <w:r>
        <w:br/>
      </w:r>
      <w:r>
        <w:t xml:space="preserve">The adoption of this advanced</w:t>
      </w:r>
      <w:r>
        <w:t xml:space="preserve"> </w:t>
      </w:r>
      <w:r>
        <w:rPr>
          <w:bCs/>
          <w:b/>
        </w:rPr>
        <w:t xml:space="preserve">Editor</w:t>
      </w:r>
      <w:r>
        <w:t xml:space="preserve">" platform represents a strategic investment in the future of our content operations in</w:t>
      </w:r>
      <w:r>
        <w:t xml:space="preserve"> </w:t>
      </w:r>
      <w:r>
        <w:rPr>
          <w:bCs/>
          <w:b/>
        </w:rPr>
        <w:t xml:space="preserve">Netherlands Amsterdam</w:t>
      </w:r>
      <w:r>
        <w:t xml:space="preserve">". By prioritizing localization, efficiency, and compliance we are not only improving internal processes but also enhancing the quality and reach of our content for Dutch audiences. This</w:t>
      </w:r>
      <w:r>
        <w:t xml:space="preserve"> </w:t>
      </w:r>
      <w:r>
        <w:rPr>
          <w:bCs/>
          <w:b/>
        </w:rPr>
        <w:t xml:space="preserve">Project Report</w:t>
      </w:r>
      <w:r>
        <w:t xml:space="preserve">" confirms that proceeding with this initiative is aligned with our broader corporate goals and market demands. We recommend immediate approval to move into Phase 1 of the implementation plan.</w:t>
      </w:r>
      <w:r>
        <w:br/>
      </w:r>
    </w:p>
    <w:p>
      <w:pPr>
        <w:pStyle w:val="BodyText"/>
      </w:pPr>
      <w:r>
        <w:t xml:space="preserve">© 2023 Media Operations Group. All Rights Reserved.</w:t>
      </w:r>
    </w:p>
    <w:p>
      <w:pPr>
        <w:pStyle w:val="BodyText"/>
      </w:pPr>
      <w:r>
        <w:rPr>
          <w:bCs/>
          <w:b/>
        </w:rPr>
        <w:t xml:space="preserve">Netherlands Amsterdam</w:t>
      </w:r>
      <w:r>
        <w:t xml:space="preserve"> </w:t>
      </w:r>
      <w:r>
        <w:t xml:space="preserve">- Office Headquarters</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Editorial Infrastructure in Netherlands, Amsterdam</dc:title>
  <dc:creator/>
  <cp:keywords/>
  <dcterms:created xsi:type="dcterms:W3CDTF">2026-07-29T09:26:10Z</dcterms:created>
  <dcterms:modified xsi:type="dcterms:W3CDTF">2026-07-29T09:26:10Z</dcterms:modified>
</cp:coreProperties>
</file>

<file path=docProps/custom.xml><?xml version="1.0" encoding="utf-8"?>
<Properties xmlns="http://schemas.openxmlformats.org/officeDocument/2006/custom-properties" xmlns:vt="http://schemas.openxmlformats.org/officeDocument/2006/docPropsVTypes"/>
</file>