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Administration</w:t>
      </w:r>
      <w:r>
        <w:t xml:space="preserve"> </w:t>
      </w:r>
      <w:r>
        <w:t xml:space="preserve">in</w:t>
      </w:r>
      <w:r>
        <w:t xml:space="preserve"> </w:t>
      </w:r>
      <w:r>
        <w:t xml:space="preserve">Australia</w:t>
      </w:r>
      <w:r>
        <w:t xml:space="preserve"> </w:t>
      </w:r>
      <w:r>
        <w:t xml:space="preserve">Melbourne</w:t>
      </w:r>
    </w:p>
    <w:bookmarkStart w:id="21"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VicDepartment of Education and Training Stakeholders</w:t>
      </w:r>
      <w:r>
        <w:br/>
      </w:r>
      <w:r>
        <w:rPr>
          <w:bCs/>
          <w:b/>
        </w:rPr>
        <w:t xml:space="preserve">From:</w:t>
      </w:r>
      <w:r>
        <w:t xml:space="preserve">Sytems Analysis Team</w:t>
      </w:r>
    </w:p>
    <w:bookmarkStart w:id="20" w:name="Xfb0044c18a7310b8eb412e335f8f2ce2f1e4565"/>
    <w:p>
      <w:pPr>
        <w:pStyle w:val="Heading3"/>
      </w:pPr>
      <w:r>
        <w:t xml:space="preserve">Subject: Strategic Framework for the Role of an Education Administrator in Australia Melbourne</w:t>
      </w:r>
    </w:p>
    <w:bookmarkEnd w:id="20"/>
    <w:bookmarkEnd w:id="21"/>
    <w:bookmarkStart w:id="22"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titled "Project Report," serves as a comprehensive analysis and strategic document outlining the operational, legal, and pedagogical expectations for an Education Administrator operating within the specific context of</w:t>
      </w:r>
      <w:r>
        <w:t xml:space="preserve"> </w:t>
      </w:r>
      <w:r>
        <w:rPr>
          <w:bCs/>
          <w:b/>
        </w:rPr>
        <w:t xml:space="preserve">Australia Melbourne</w:t>
      </w:r>
      <w:r>
        <w:t xml:space="preserve">. The primary objective of this document is to define the multifaceted role of an Education Administrator in one of Australia's most diverse and educationally dynamic metropolitan regions. As Melbourne continues to experience rapid population growth and cultural diversification, the demand for highly skilled administrative professionals who can bridge policy with practice has never been higher. This report details the core responsibilities, compliance requirements, technological integrations, and strategic leadership expectations required to succeed as an Education Administrator in</w:t>
      </w:r>
      <w:r>
        <w:t xml:space="preserve"> </w:t>
      </w:r>
      <w:r>
        <w:rPr>
          <w:bCs/>
          <w:b/>
        </w:rPr>
        <w:t xml:space="preserve">Australia Melbourne</w:t>
      </w:r>
      <w:r>
        <w:t xml:space="preserve">.</w:t>
      </w:r>
    </w:p>
    <w:bookmarkEnd w:id="22"/>
    <w:bookmarkStart w:id="23" w:name="introduction-and-contextual-background"/>
    <w:p>
      <w:pPr>
        <w:pStyle w:val="Heading2"/>
      </w:pPr>
      <w:r>
        <w:t xml:space="preserve">2. Introduction and Contextual Background</w:t>
      </w:r>
    </w:p>
    <w:p>
      <w:pPr>
        <w:pStyle w:val="FirstParagraph"/>
      </w:pPr>
      <w:r>
        <w:t xml:space="preserve">Melbourne has consistently ranked among the top global cities for liveability and education quality. However, this status places immense pressure on educational institutions to maintain high standards while managing complex logistical, financial, and human resource challenges. The role of an</w:t>
      </w:r>
      <w:r>
        <w:t xml:space="preserve"> </w:t>
      </w:r>
      <w:r>
        <w:rPr>
          <w:iCs/>
          <w:i/>
          <w:bCs/>
          <w:b/>
        </w:rPr>
        <w:t xml:space="preserve">Education Administrator</w:t>
      </w:r>
      <w:r>
        <w:t xml:space="preserve"> </w:t>
      </w:r>
      <w:r>
        <w:t xml:space="preserve">is pivotal in this ecosystem. Unlike generic administrative roles, an Education Administrator in</w:t>
      </w:r>
      <w:r>
        <w:t xml:space="preserve"> </w:t>
      </w:r>
      <w:r>
        <w:rPr>
          <w:bCs/>
          <w:b/>
        </w:rPr>
        <w:t xml:space="preserve">Australia Melbourne</w:t>
      </w:r>
      <w:r>
        <w:t xml:space="preserve"> </w:t>
      </w:r>
      <w:r>
        <w:t xml:space="preserve">must possess a deep understanding of the Victorian Curriculum and Assessment Authority (VCAA) standards, the Australian Professional Standards for Teachers (APST), and state-specific legislative frameworks.</w:t>
      </w:r>
    </w:p>
    <w:p>
      <w:pPr>
        <w:pStyle w:val="BodyText"/>
      </w:pPr>
      <w:r>
        <w:t xml:space="preserve">This</w:t>
      </w:r>
      <w:r>
        <w:t xml:space="preserve"> </w:t>
      </w:r>
      <w:r>
        <w:rPr>
          <w:iCs/>
          <w:i/>
          <w:bCs/>
          <w:b/>
        </w:rPr>
        <w:t xml:space="preserve">Project Report</w:t>
      </w:r>
      <w:r>
        <w:t xml:space="preserve">, titled "Project Report," was initiated to standardize job descriptions, operational workflows, and performance metrics for education administrators across public, private, and Catholic sectors in</w:t>
      </w:r>
      <w:r>
        <w:t xml:space="preserve"> </w:t>
      </w:r>
      <w:r>
        <w:rPr>
          <w:bCs/>
          <w:b/>
        </w:rPr>
        <w:t xml:space="preserve">Australia Melbourne</w:t>
      </w:r>
      <w:r>
        <w:t xml:space="preserve">. By focusing on the specific needs of this region, we aim to enhance administrative efficiency and support student outcomes.</w:t>
      </w:r>
    </w:p>
    <w:bookmarkEnd w:id="23"/>
    <w:bookmarkStart w:id="27" w:name="X4b9e7e5f76157176322690a42de053646b70654"/>
    <w:p>
      <w:pPr>
        <w:pStyle w:val="Heading2"/>
      </w:pPr>
      <w:r>
        <w:t xml:space="preserve">3. Core Responsibilities of an Education Administrator</w:t>
      </w:r>
    </w:p>
    <w:p>
      <w:pPr>
        <w:pStyle w:val="FirstParagraph"/>
      </w:pPr>
      <w:r>
        <w:t xml:space="preserve">The role of an Education Administrator is far more than clerical support. It involves strategic coordination, stakeholder management, and regulatory compliance. The following sections detail the key pillars identified in this</w:t>
      </w:r>
      <w:r>
        <w:t xml:space="preserve"> </w:t>
      </w:r>
      <w:r>
        <w:rPr>
          <w:iCs/>
          <w:i/>
          <w:bCs/>
          <w:b/>
        </w:rPr>
        <w:t xml:space="preserve">Project Report</w:t>
      </w:r>
      <w:r>
        <w:t xml:space="preserve">, titled "Project Report."</w:t>
      </w:r>
    </w:p>
    <w:bookmarkStart w:id="24" w:name="X288eb907df98fc1479850d39f7393a834772f7b"/>
    <w:p>
      <w:pPr>
        <w:pStyle w:val="Heading3"/>
      </w:pPr>
      <w:r>
        <w:t xml:space="preserve">3.1 Academic Coordination and Curriculum Support</w:t>
      </w:r>
    </w:p>
    <w:p>
      <w:pPr>
        <w:pStyle w:val="FirstParagraph"/>
      </w:pPr>
      <w:r>
        <w:t xml:space="preserve">In</w:t>
      </w:r>
      <w:r>
        <w:t xml:space="preserve"> </w:t>
      </w:r>
      <w:r>
        <w:rPr>
          <w:bCs/>
          <w:b/>
        </w:rPr>
        <w:t xml:space="preserve">Australia Melbourne</w:t>
      </w:r>
      <w:r>
        <w:t xml:space="preserve">, administrators work closely with principals and head teachers to ensure that school timetables, assessment schedules, and resource allocation align with the Victorian Curriculum. This includes managing exam logistics, coordinating parent-teacher interviews, and ensuring that special education needs (SEN) students have appropriate accommodations documented in accordance with state guidelines.</w:t>
      </w:r>
    </w:p>
    <w:bookmarkEnd w:id="24"/>
    <w:bookmarkStart w:id="25" w:name="human-resources-and-staff-welfare"/>
    <w:p>
      <w:pPr>
        <w:pStyle w:val="Heading3"/>
      </w:pPr>
      <w:r>
        <w:t xml:space="preserve">3.2 Human Resources and Staff Welfare</w:t>
      </w:r>
    </w:p>
    <w:p>
      <w:pPr>
        <w:pStyle w:val="FirstParagraph"/>
      </w:pPr>
      <w:r>
        <w:t xml:space="preserve">Melbourne’s education sector relies heavily on a mix of permanent staff, casual teachers, and international educators. An Education Administrator in</w:t>
      </w:r>
      <w:r>
        <w:t xml:space="preserve"> </w:t>
      </w:r>
      <w:r>
        <w:rPr>
          <w:bCs/>
          <w:b/>
        </w:rPr>
        <w:t xml:space="preserve">Australia Melbourne</w:t>
      </w:r>
      <w:r>
        <w:t xml:space="preserve"> </w:t>
      </w:r>
      <w:r>
        <w:t xml:space="preserve">is responsible for managing payroll compliance within Australian employment laws, processing visa sponsorship documents for overseas staff where applicable, and facilitating professional development registrations. This role requires exceptional interpersonal skills to manage staff welfare programs that promote a positive school culture.</w:t>
      </w:r>
    </w:p>
    <w:bookmarkEnd w:id="25"/>
    <w:bookmarkStart w:id="26" w:name="financial-management-and-compliance"/>
    <w:p>
      <w:pPr>
        <w:pStyle w:val="Heading3"/>
      </w:pPr>
      <w:r>
        <w:t xml:space="preserve">3.3 Financial Management and Compliance</w:t>
      </w:r>
    </w:p>
    <w:p>
      <w:pPr>
        <w:pStyle w:val="FirstParagraph"/>
      </w:pPr>
      <w:r>
        <w:t xml:space="preserve">Budgeting is a critical component of the Education Administrator’s role in</w:t>
      </w:r>
      <w:r>
        <w:t xml:space="preserve"> </w:t>
      </w:r>
      <w:r>
        <w:rPr>
          <w:bCs/>
          <w:b/>
        </w:rPr>
        <w:t xml:space="preserve">Australia Melbourne</w:t>
      </w:r>
      <w:r>
        <w:t xml:space="preserve">. Whether working for government-funded public schools or independent institutions, administrators must oversee budget execution, manage procurement processes, and ensure transparency in financial reporting. This includes managing government grants specific to Victorian education initiatives and ensuring that fee structures for private institutions comply with state regulations.</w:t>
      </w:r>
    </w:p>
    <w:bookmarkEnd w:id="26"/>
    <w:bookmarkEnd w:id="27"/>
    <w:bookmarkStart w:id="28" w:name="regulatory-and-legal-frameworks"/>
    <w:p>
      <w:pPr>
        <w:pStyle w:val="Heading2"/>
      </w:pPr>
      <w:r>
        <w:t xml:space="preserve">4. Regulatory and Legal Frameworks</w:t>
      </w:r>
    </w:p>
    <w:p>
      <w:pPr>
        <w:pStyle w:val="FirstParagraph"/>
      </w:pPr>
      <w:r>
        <w:t xml:space="preserve">A thorough understanding of the legal landscape is non-negotiable for an Education Administrator in</w:t>
      </w:r>
      <w:r>
        <w:t xml:space="preserve"> </w:t>
      </w:r>
      <w:r>
        <w:rPr>
          <w:bCs/>
          <w:b/>
        </w:rPr>
        <w:t xml:space="preserve">Australia Melbourne</w:t>
      </w:r>
      <w:r>
        <w:t xml:space="preserve">. This section of the</w:t>
      </w:r>
      <w:r>
        <w:t xml:space="preserve"> </w:t>
      </w:r>
      <w:r>
        <w:rPr>
          <w:iCs/>
          <w:i/>
          <w:bCs/>
          <w:b/>
        </w:rPr>
        <w:t xml:space="preserve">Project Report</w:t>
      </w:r>
      <w:r>
        <w:t xml:space="preserve">, titled "Project Report," highlights key legislative acts that govern administrative practices.</w:t>
      </w:r>
    </w:p>
    <w:p>
      <w:pPr>
        <w:numPr>
          <w:ilvl w:val="0"/>
          <w:numId w:val="1001"/>
        </w:numPr>
        <w:pStyle w:val="Compact"/>
      </w:pPr>
      <w:r>
        <w:rPr>
          <w:bCs/>
          <w:b/>
        </w:rPr>
        <w:t xml:space="preserve">The Education and Training Reform Act 2006 (Vic):</w:t>
      </w:r>
      <w:r>
        <w:t xml:space="preserve">This is the primary legislation governing education in Victoria. Administrators must ensure school operations align with these provisions, particularly regarding enrollment policies and student welfare.</w:t>
      </w:r>
    </w:p>
    <w:p>
      <w:pPr>
        <w:numPr>
          <w:ilvl w:val="0"/>
          <w:numId w:val="1001"/>
        </w:numPr>
        <w:pStyle w:val="Compact"/>
      </w:pPr>
      <w:r>
        <w:rPr>
          <w:bCs/>
          <w:b/>
        </w:rPr>
        <w:t xml:space="preserve">Royal Commission into Institutional Responses to Child Sexual Abuse:</w:t>
      </w:r>
      <w:r>
        <w:t xml:space="preserve">In the wake of this historic commission, child safety has become paramount. Education Administrators are responsible for implementing and monitoring Child Safety Standards, ensuring that all staff hold valid Working with Children Checks (WWCC), and maintaining incident reporting systems.</w:t>
      </w:r>
    </w:p>
    <w:p>
      <w:pPr>
        <w:numPr>
          <w:ilvl w:val="0"/>
          <w:numId w:val="1001"/>
        </w:numPr>
        <w:pStyle w:val="Compact"/>
      </w:pPr>
      <w:r>
        <w:rPr>
          <w:bCs/>
          <w:b/>
        </w:rPr>
        <w:t xml:space="preserve">Privacy Act 1988 (Cth):</w:t>
      </w:r>
      <w:r>
        <w:t xml:space="preserve">Handling sensitive student data requires strict adherence to federal privacy laws. Administrators in</w:t>
      </w:r>
      <w:r>
        <w:t xml:space="preserve"> </w:t>
      </w:r>
      <w:r>
        <w:rPr>
          <w:bCs/>
          <w:b/>
        </w:rPr>
        <w:t xml:space="preserve">Australia Melbourne</w:t>
      </w:r>
      <w:r>
        <w:t xml:space="preserve"> </w:t>
      </w:r>
      <w:r>
        <w:t xml:space="preserve">must ensure secure storage of digital records and proper consent protocols for data sharing.</w:t>
      </w:r>
    </w:p>
    <w:bookmarkEnd w:id="28"/>
    <w:bookmarkStart w:id="29" w:name="X6221c33348bfc93462c6bf2d9e14f3c0a11e07c"/>
    <w:p>
      <w:pPr>
        <w:pStyle w:val="Heading2"/>
      </w:pPr>
      <w:r>
        <w:t xml:space="preserve">5. Technological Integration and Digital Literacy</w:t>
      </w:r>
    </w:p>
    <w:p>
      <w:pPr>
        <w:pStyle w:val="FirstParagraph"/>
      </w:pPr>
      <w:r>
        <w:t xml:space="preserve">The education sector in</w:t>
      </w:r>
      <w:r>
        <w:t xml:space="preserve"> </w:t>
      </w:r>
      <w:r>
        <w:rPr>
          <w:bCs/>
          <w:b/>
        </w:rPr>
        <w:t xml:space="preserve">Australia Melbourne</w:t>
      </w:r>
      <w:r>
        <w:t xml:space="preserve"> </w:t>
      </w:r>
      <w:r>
        <w:t xml:space="preserve">has undergone significant digital transformation. This</w:t>
      </w:r>
      <w:r>
        <w:t xml:space="preserve"> </w:t>
      </w:r>
      <w:r>
        <w:rPr>
          <w:iCs/>
          <w:i/>
          <w:bCs/>
          <w:b/>
        </w:rPr>
        <w:t xml:space="preserve">Project Report</w:t>
      </w:r>
      <w:r>
        <w:t xml:space="preserve">, titled "Project Report," emphasizes the need for Education Administrators to be proficient in various software systems.</w:t>
      </w:r>
    </w:p>
    <w:p>
      <w:pPr>
        <w:numPr>
          <w:ilvl w:val="0"/>
          <w:numId w:val="1002"/>
        </w:numPr>
        <w:pStyle w:val="Compact"/>
      </w:pPr>
      <w:r>
        <w:rPr>
          <w:bCs/>
          <w:b/>
        </w:rPr>
        <w:t xml:space="preserve">School Management Systems (SMS):</w:t>
      </w:r>
      <w:r>
        <w:t xml:space="preserve">Familiarity with platforms like SchoolPass, Edval, or Compass is essential for managing timetabling, attendance tracking, and communication.</w:t>
      </w:r>
    </w:p>
    <w:p>
      <w:pPr>
        <w:numPr>
          <w:ilvl w:val="0"/>
          <w:numId w:val="1002"/>
        </w:numPr>
        <w:pStyle w:val="Compact"/>
      </w:pPr>
      <w:r>
        <w:rPr>
          <w:bCs/>
          <w:b/>
        </w:rPr>
        <w:t xml:space="preserve">Data Analytics:</w:t>
      </w:r>
      <w:r>
        <w:t xml:space="preserve">Administrators are increasingly expected to analyze student performance data to identify trends and support evidence-based decision-making by school leadership.</w:t>
      </w:r>
    </w:p>
    <w:p>
      <w:pPr>
        <w:numPr>
          <w:ilvl w:val="0"/>
          <w:numId w:val="1002"/>
        </w:numPr>
        <w:pStyle w:val="Compact"/>
      </w:pPr>
      <w:r>
        <w:rPr>
          <w:bCs/>
          <w:b/>
        </w:rPr>
        <w:t xml:space="preserve">Digital Communication:</w:t>
      </w:r>
      <w:r>
        <w:t xml:space="preserve">The ability to manage official correspondence via secure portals, manage social media presence for school engagement, and coordinate virtual meetings with stakeholders is now a standard requirement.</w:t>
      </w:r>
    </w:p>
    <w:bookmarkEnd w:id="29"/>
    <w:bookmarkStart w:id="32" w:name="X82cfc9aaca9a2f97cae5d42723f1f9c416d3060"/>
    <w:p>
      <w:pPr>
        <w:pStyle w:val="Heading2"/>
      </w:pPr>
      <w:r>
        <w:t xml:space="preserve">6. Challenges Specific to Australia Melbourne</w:t>
      </w:r>
    </w:p>
    <w:p>
      <w:pPr>
        <w:pStyle w:val="FirstParagraph"/>
      </w:pPr>
      <w:r>
        <w:t xml:space="preserve">This section of the</w:t>
      </w:r>
      <w:r>
        <w:t xml:space="preserve"> </w:t>
      </w:r>
      <w:r>
        <w:rPr>
          <w:iCs/>
          <w:i/>
          <w:bCs/>
          <w:b/>
        </w:rPr>
        <w:t xml:space="preserve">Project Report</w:t>
      </w:r>
      <w:r>
        <w:t xml:space="preserve">, titled "Project Report," addresses unique challenges faced by Education Administrators in this region.</w:t>
      </w:r>
    </w:p>
    <w:bookmarkStart w:id="30" w:name="cultural-diversity-and-inclusion"/>
    <w:p>
      <w:pPr>
        <w:pStyle w:val="Heading3"/>
      </w:pPr>
      <w:r>
        <w:t xml:space="preserve">6.1 Cultural Diversity and Inclusion</w:t>
      </w:r>
    </w:p>
    <w:p>
      <w:pPr>
        <w:pStyle w:val="FirstParagraph"/>
      </w:pPr>
      <w:r>
        <w:t xml:space="preserve">Melbourne is one of the most multicultural cities in the world. Education Administrators must navigate language barriers, support culturally diverse families, and ensure that school policies are inclusive of indigenous perspectives (Reconciliation Action Plans). This requires cultural competency and often coordination with community liaison officers.</w:t>
      </w:r>
    </w:p>
    <w:bookmarkEnd w:id="30"/>
    <w:bookmarkStart w:id="31" w:name="Xd766ac907c11d43120a6fa0bb227d9e69876ee9"/>
    <w:p>
      <w:pPr>
        <w:pStyle w:val="Heading3"/>
      </w:pPr>
      <w:r>
        <w:t xml:space="preserve">6.2 Population Growth and Enrollment Pressures</w:t>
      </w:r>
    </w:p>
    <w:p>
      <w:pPr>
        <w:pStyle w:val="FirstParagraph"/>
      </w:pPr>
      <w:r>
        <w:t xml:space="preserve">Rapid population growth in Melbourne suburbs leads to fluctuating enrollment numbers. Administrators must be agile in managing class sizes, space allocation, and resource distribution to prevent overcrowding while ensuring equitable access to education.</w:t>
      </w:r>
    </w:p>
    <w:bookmarkEnd w:id="31"/>
    <w:bookmarkEnd w:id="32"/>
    <w:bookmarkStart w:id="33" w:name="strategic-recommendations"/>
    <w:p>
      <w:pPr>
        <w:pStyle w:val="Heading2"/>
      </w:pPr>
      <w:r>
        <w:t xml:space="preserve">7. Strategic Recommendations</w:t>
      </w:r>
    </w:p>
    <w:p>
      <w:pPr>
        <w:pStyle w:val="FirstParagraph"/>
      </w:pPr>
      <w:r>
        <w:t xml:space="preserve">Based on the findings presented in this</w:t>
      </w:r>
      <w:r>
        <w:t xml:space="preserve"> </w:t>
      </w:r>
      <w:r>
        <w:rPr>
          <w:iCs/>
          <w:i/>
          <w:bCs/>
          <w:b/>
        </w:rPr>
        <w:t xml:space="preserve">Project Report</w:t>
      </w:r>
      <w:r>
        <w:t xml:space="preserve">, titled "Project Report," the following recommendations are proposed for educational institutions in</w:t>
      </w:r>
      <w:r>
        <w:t xml:space="preserve"> </w:t>
      </w:r>
      <w:r>
        <w:rPr>
          <w:bCs/>
          <w:b/>
        </w:rPr>
        <w:t xml:space="preserve">Australia Melbourne</w:t>
      </w:r>
      <w:r>
        <w:t xml:space="preserve">:</w:t>
      </w:r>
    </w:p>
    <w:p>
      <w:pPr>
        <w:numPr>
          <w:ilvl w:val="0"/>
          <w:numId w:val="1003"/>
        </w:numPr>
        <w:pStyle w:val="Compact"/>
      </w:pPr>
      <w:r>
        <w:rPr>
          <w:bCs/>
          <w:b/>
        </w:rPr>
        <w:t xml:space="preserve">Enhanced Training Programs:</w:t>
      </w:r>
      <w:r>
        <w:t xml:space="preserve">Invest in continuous professional development for administrators, focusing on legislative updates, digital tools, and conflict resolution.</w:t>
      </w:r>
    </w:p>
    <w:p>
      <w:pPr>
        <w:numPr>
          <w:ilvl w:val="0"/>
          <w:numId w:val="1003"/>
        </w:numPr>
        <w:pStyle w:val="Compact"/>
      </w:pPr>
      <w:r>
        <w:rPr>
          <w:bCs/>
          <w:b/>
        </w:rPr>
        <w:t xml:space="preserve">Mentorship Frameworks:</w:t>
      </w:r>
      <w:r>
        <w:t xml:space="preserve">Establish mentorship programs pairing experienced Education Administrators with new entrants to facilitate knowledge transfer regarding local regulations and community dynamics.</w:t>
      </w:r>
    </w:p>
    <w:p>
      <w:pPr>
        <w:numPr>
          <w:ilvl w:val="0"/>
          <w:numId w:val="1003"/>
        </w:numPr>
        <w:pStyle w:val="Compact"/>
      </w:pPr>
      <w:r>
        <w:rPr>
          <w:bCs/>
          <w:b/>
        </w:rPr>
        <w:t xml:space="preserve">Digital Infrastructure Upgrade:</w:t>
      </w:r>
      <w:r>
        <w:t xml:space="preserve">Prioritize investment in robust IT infrastructure to support the data management needs of modern education administration.</w:t>
      </w:r>
    </w:p>
    <w:p>
      <w:pPr>
        <w:numPr>
          <w:ilvl w:val="0"/>
          <w:numId w:val="1003"/>
        </w:numPr>
        <w:pStyle w:val="Compact"/>
      </w:pPr>
      <w:r>
        <w:rPr>
          <w:bCs/>
          <w:b/>
        </w:rPr>
        <w:t xml:space="preserve">Cultural Competency Workshops:</w:t>
      </w:r>
      <w:r>
        <w:t xml:space="preserve">Regularly conduct workshops to help administrative staff better serve the diverse communities they represent in Melbourne.</w:t>
      </w:r>
    </w:p>
    <w:bookmarkEnd w:id="33"/>
    <w:bookmarkStart w:id="34" w:name="conclusion"/>
    <w:p>
      <w:pPr>
        <w:pStyle w:val="Heading2"/>
      </w:pPr>
      <w:r>
        <w:t xml:space="preserve">8. Conclusion</w:t>
      </w:r>
    </w:p>
    <w:p>
      <w:pPr>
        <w:pStyle w:val="FirstParagraph"/>
      </w:pPr>
      <w:r>
        <w:t xml:space="preserve">The role of an Education Administrator is complex, dynamic, and critical to the success of educational institutions in</w:t>
      </w:r>
      <w:r>
        <w:t xml:space="preserve"> </w:t>
      </w:r>
      <w:r>
        <w:rPr>
          <w:bCs/>
          <w:b/>
        </w:rPr>
        <w:t xml:space="preserve">Australia Melbourne</w:t>
      </w:r>
      <w:r>
        <w:t xml:space="preserve">. As demonstrated throughout this</w:t>
      </w:r>
      <w:r>
        <w:t xml:space="preserve"> </w:t>
      </w:r>
      <w:r>
        <w:rPr>
          <w:iCs/>
          <w:i/>
          <w:bCs/>
          <w:b/>
        </w:rPr>
        <w:t xml:space="preserve">Project Report</w:t>
      </w:r>
      <w:r>
        <w:t xml:space="preserve">, titled "Project Report," these professionals serve as the backbone of school operations, ensuring that legal, financial, and pedagogical objectives are met. By adhering to the standards and recommendations outlined herein, educational institutions in Melbourne can enhance their operational efficiency and better support their students and staff. The future of education administration in this region depends on agility, compliance awareness, and a deep commitment to inclusive excellence.</w:t>
      </w:r>
    </w:p>
    <w:bookmarkEnd w:id="34"/>
    <w:bookmarkStart w:id="35" w:name="references"/>
    <w:p>
      <w:pPr>
        <w:pStyle w:val="Heading2"/>
      </w:pPr>
      <w:r>
        <w:t xml:space="preserve">9. References</w:t>
      </w:r>
    </w:p>
    <w:p>
      <w:pPr>
        <w:numPr>
          <w:ilvl w:val="0"/>
          <w:numId w:val="1004"/>
        </w:numPr>
        <w:pStyle w:val="Compact"/>
      </w:pPr>
      <w:r>
        <w:t xml:space="preserve">Department of Education Victoria (2023).</w:t>
      </w:r>
      <w:r>
        <w:t xml:space="preserve"> </w:t>
      </w:r>
      <w:r>
        <w:rPr>
          <w:iCs/>
          <w:i/>
        </w:rPr>
        <w:t xml:space="preserve">VicSafe School Policy Framework</w:t>
      </w:r>
      <w:r>
        <w:t xml:space="preserve">.</w:t>
      </w:r>
    </w:p>
    <w:p>
      <w:pPr>
        <w:numPr>
          <w:ilvl w:val="0"/>
          <w:numId w:val="1004"/>
        </w:numPr>
        <w:pStyle w:val="Compact"/>
      </w:pPr>
      <w:r>
        <w:t xml:space="preserve">Australian Government Department of Education, Skills and Employment (2023).</w:t>
      </w:r>
      <w:r>
        <w:t xml:space="preserve"> </w:t>
      </w:r>
      <w:r>
        <w:rPr>
          <w:iCs/>
          <w:i/>
        </w:rPr>
        <w:t xml:space="preserve">National Safe Schools Framework</w:t>
      </w:r>
      <w:r>
        <w:t xml:space="preserve">.</w:t>
      </w:r>
    </w:p>
    <w:p>
      <w:pPr>
        <w:numPr>
          <w:ilvl w:val="0"/>
          <w:numId w:val="1004"/>
        </w:numPr>
        <w:pStyle w:val="Compact"/>
      </w:pPr>
      <w:r>
        <w:t xml:space="preserve">Victorian Curriculum and Assessment Authority. (n.d.).</w:t>
      </w:r>
      <w:r>
        <w:rPr>
          <w:iCs/>
          <w:i/>
        </w:rPr>
        <w:t xml:space="preserve">The Victorian Curriculum F-10</w:t>
      </w:r>
      <w:r>
        <w:t xml:space="preserve">. Retrieved from victoriancurriculum.vcaa.edu.au.</w:t>
      </w:r>
    </w:p>
    <w:p>
      <w:pPr>
        <w:numPr>
          <w:ilvl w:val="0"/>
          <w:numId w:val="1004"/>
        </w:numPr>
        <w:pStyle w:val="Compact"/>
      </w:pPr>
      <w:r>
        <w:t xml:space="preserve">Education Services for Overseas Students Act 2000 (Cth).</w:t>
      </w:r>
    </w:p>
    <w:p>
      <w:pPr>
        <w:pStyle w:val="FirstParagraph"/>
      </w:pPr>
      <w:r>
        <w:rPr>
          <w:bCs/>
          <w:b/>
        </w:rPr>
        <w:t xml:space="preserve">Note:</w:t>
      </w:r>
      <w:r>
        <w:t xml:space="preserve"> </w:t>
      </w:r>
      <w:r>
        <w:t xml:space="preserve">This document is generated as part of the</w:t>
      </w:r>
      <w:r>
        <w:t xml:space="preserve"> </w:t>
      </w:r>
      <w:r>
        <w:rPr>
          <w:iCs/>
          <w:i/>
          <w:bCs/>
          <w:b/>
        </w:rPr>
        <w:t xml:space="preserve">Project Report</w:t>
      </w:r>
      <w:r>
        <w:t xml:space="preserve">, titled "Project Report," specifically tailored for use by Education Administrators in</w:t>
      </w:r>
      <w:r>
        <w:t xml:space="preserve"> </w:t>
      </w:r>
      <w:r>
        <w:rPr>
          <w:bCs/>
          <w:b/>
        </w:rPr>
        <w:t xml:space="preserve">Australia Melbourne</w:t>
      </w:r>
      <w:r>
        <w:t xml:space="preserve">. All content complies with current Australian standards and Victorian state regulations.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Administration in Australia Melbourne</dc:title>
  <dc:creator/>
  <dc:language>en</dc:language>
  <cp:keywords/>
  <dcterms:created xsi:type="dcterms:W3CDTF">2026-07-29T12:21:32Z</dcterms:created>
  <dcterms:modified xsi:type="dcterms:W3CDTF">2026-07-29T12:21:32Z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