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Mumbai</w:t>
      </w:r>
    </w:p>
    <w:bookmarkStart w:id="30" w:name="Xf79c88437ac318f92bbb92d26fa1c01c0235305"/>
    <w:p>
      <w:pPr>
        <w:pStyle w:val="Heading1"/>
      </w:pPr>
      <w:r>
        <w:t xml:space="preserve">Project Report: Strategic Implementation of the Education Administrator Role in Mumbai, India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Planning and Policy Board</w:t>
      </w:r>
      <w:r>
        <w:br/>
      </w:r>
      <w:r>
        <w:rPr>
          <w:bCs/>
          <w:b/>
        </w:rPr>
        <w:t xml:space="preserve">From:</w:t>
      </w:r>
      <w:r>
        <w:t xml:space="preserve"> </w:t>
      </w:r>
      <w:r>
        <w:t xml:space="preserve">Central Project Coordination Unit</w:t>
      </w:r>
      <w:r>
        <w:br/>
      </w:r>
    </w:p>
    <w:p>
      <w:pPr>
        <w:pStyle w:val="BodyText"/>
      </w:pPr>
      <w:r>
        <w:t xml:space="preserve">Subject: Comprehensive Analysis of the Education Administrator Function within the Mumbai Metropolitan Region</w:t>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serves as a comprehensive evaluation and strategic framework for the role of an</w:t>
      </w:r>
      <w:r>
        <w:t xml:space="preserve"> </w:t>
      </w:r>
      <w:r>
        <w:rPr>
          <w:bCs/>
          <w:b/>
        </w:rPr>
        <w:t xml:space="preserve">Education Administrator</w:t>
      </w:r>
      <w:r>
        <w:t xml:space="preserve">. The scope of this document is specifically tailored to the unique socio-economic, demographic, and infrastructural realities of</w:t>
      </w:r>
      <w:r>
        <w:t xml:space="preserve"> </w:t>
      </w:r>
      <w:r>
        <w:rPr>
          <w:bCs/>
          <w:b/>
        </w:rPr>
        <w:t xml:space="preserve">India Mumbai</w:t>
      </w:r>
      <w:r>
        <w:t xml:space="preserve">. As one of the most densely populated urban centers in the world, Mumbai presents a complex landscape for educational governance. This report argues that effective educational outcomes in this region are heavily dependent on specialized administrative capabilities that can navigate bureaucratic hurdles, manage diverse student populations, and leverage technology to bridge resource gaps. The primary objective is to define the core competencies, operational challenges, and strategic interventions required for an</w:t>
      </w:r>
      <w:r>
        <w:t xml:space="preserve"> </w:t>
      </w:r>
      <w:r>
        <w:rPr>
          <w:bCs/>
          <w:b/>
        </w:rPr>
        <w:t xml:space="preserve">Education Administrator</w:t>
      </w:r>
      <w:r>
        <w:t xml:space="preserve"> </w:t>
      </w:r>
      <w:r>
        <w:t xml:space="preserve">operating within the</w:t>
      </w:r>
      <w:r>
        <w:t xml:space="preserve"> </w:t>
      </w:r>
      <w:r>
        <w:rPr>
          <w:bCs/>
          <w:b/>
        </w:rPr>
        <w:t xml:space="preserve">India Mumbai</w:t>
      </w:r>
      <w:r>
        <w:t xml:space="preserve"> </w:t>
      </w:r>
      <w:r>
        <w:t xml:space="preserve">context.</w:t>
      </w:r>
    </w:p>
    <w:bookmarkEnd w:id="20"/>
    <w:bookmarkStart w:id="23" w:name="contextual-background"/>
    <w:p>
      <w:pPr>
        <w:pStyle w:val="Heading2"/>
      </w:pPr>
      <w:r>
        <w:t xml:space="preserve">2. Contextual Background: The Mumbai Landscape</w:t>
      </w:r>
    </w:p>
    <w:bookmarkStart w:id="21" w:name="demographic-challenge"/>
    <w:p>
      <w:pPr>
        <w:pStyle w:val="Heading3"/>
      </w:pPr>
      <w:r>
        <w:t xml:space="preserve">2.1 Demographic Diversity and Density</w:t>
      </w:r>
    </w:p>
    <w:p>
      <w:pPr>
        <w:pStyle w:val="FirstParagraph"/>
      </w:pPr>
      <w:r>
        <w:t xml:space="preserve">Mumbai, the financial capital of</w:t>
      </w:r>
      <w:r>
        <w:t xml:space="preserve"> </w:t>
      </w:r>
      <w:r>
        <w:rPr>
          <w:bCs/>
          <w:b/>
        </w:rPr>
        <w:t xml:space="preserve">India Mumbai</w:t>
      </w:r>
      <w:r>
        <w:t xml:space="preserve">, is characterized by extreme population density and cultural diversity. An</w:t>
      </w:r>
    </w:p>
    <w:p>
      <w:pPr>
        <w:pStyle w:val="BodyText"/>
      </w:pPr>
      <w:r>
        <w:t xml:space="preserve">Education Administrator&gt; must first understand that they are not managing a monolithic system but a mosaic of communities. The student body ranges from elite international school attendees to children in municipal schools located in slum settlements. This disparity requires an administrator with high emotional intelligence and adaptability.</w:t>
      </w:r>
    </w:p>
    <w:p>
      <w:pPr>
        <w:pStyle w:val="BodyText"/>
      </w:pPr>
      <w:r>
        <w:t xml:space="preserve">In</w:t>
      </w:r>
      <w:r>
        <w:t xml:space="preserve"> </w:t>
      </w:r>
      <w:r>
        <w:rPr>
          <w:bCs/>
          <w:b/>
        </w:rPr>
        <w:t xml:space="preserve">India Mumbai</w:t>
      </w:r>
      <w:r>
        <w:t xml:space="preserve">, the influx of migration from other states creates linguistic barriers. While Marathi is the regional language, English serves as the lingua franca for business and higher education, and Hindi is widely spoken. An effective</w:t>
      </w:r>
    </w:p>
    <w:p>
      <w:pPr>
        <w:pStyle w:val="BodyText"/>
      </w:pPr>
      <w:r>
        <w:t xml:space="preserve">Education Administrator&gt; in this region must coordinate multilingual support systems to ensure that language barriers do not impede learning outcomes.</w:t>
      </w:r>
    </w:p>
    <w:bookmarkEnd w:id="21"/>
    <w:bookmarkStart w:id="22" w:name="infrastructure-constraints"/>
    <w:p>
      <w:pPr>
        <w:pStyle w:val="Heading3"/>
      </w:pPr>
      <w:r>
        <w:t xml:space="preserve">2.2 Infrastructural Constraints</w:t>
      </w:r>
    </w:p>
    <w:p>
      <w:pPr>
        <w:pStyle w:val="FirstParagraph"/>
      </w:pPr>
      <w:r>
        <w:t xml:space="preserve">The physical space available for educational institutions in</w:t>
      </w:r>
      <w:r>
        <w:t xml:space="preserve"> </w:t>
      </w:r>
      <w:r>
        <w:rPr>
          <w:bCs/>
          <w:b/>
        </w:rPr>
        <w:t xml:space="preserve">India Mumbai</w:t>
      </w:r>
      <w:r>
        <w:t xml:space="preserve"> </w:t>
      </w:r>
      <w:r>
        <w:t xml:space="preserve">is severely limited due to high real estate costs and urban congestion. Therefore, the role of the</w:t>
      </w:r>
    </w:p>
    <w:p>
      <w:pPr>
        <w:pStyle w:val="BodyText"/>
      </w:pPr>
      <w:r>
        <w:t xml:space="preserve">Education Administrator&gt; extends beyond personnel management to include facility optimization. This includes managing multi-shift schooling systems (morning and afternoon shifts) which are common in public schools to maximize capacity. The administrator must ensure that safety protocols, sanitation standards, and learning environments meet regulatory requirements despite spatial constraints.</w:t>
      </w:r>
    </w:p>
    <w:bookmarkEnd w:id="22"/>
    <w:bookmarkEnd w:id="23"/>
    <w:bookmarkStart w:id="24" w:name="core-responsibilities"/>
    <w:p>
      <w:pPr>
        <w:pStyle w:val="Heading2"/>
      </w:pPr>
      <w:r>
        <w:t xml:space="preserve">3. Core Responsibilities of the Education Administrator</w:t>
      </w:r>
    </w:p>
    <w:p>
      <w:pPr>
        <w:pStyle w:val="FirstParagraph"/>
      </w:pPr>
      <w:r>
        <w:t xml:space="preserve">The definition of an</w:t>
      </w:r>
    </w:p>
    <w:p>
      <w:pPr>
        <w:pStyle w:val="BodyText"/>
      </w:pPr>
      <w:r>
        <w:t xml:space="preserve">Education Administrator&gt; in Mumbai goes beyond traditional managerial duties. Based on our analysis, the following key areas constitute the core mandate:</w:t>
      </w:r>
    </w:p>
    <w:p>
      <w:pPr>
        <w:numPr>
          <w:ilvl w:val="0"/>
          <w:numId w:val="1001"/>
        </w:numPr>
        <w:pStyle w:val="Compact"/>
      </w:pPr>
      <w:r>
        <w:rPr>
          <w:bCs/>
          <w:b/>
        </w:rPr>
        <w:t xml:space="preserve">Budgetary Stewardship and Resource Allocation:</w:t>
      </w:r>
    </w:p>
    <w:p>
      <w:pPr>
        <w:numPr>
          <w:ilvl w:val="0"/>
          <w:numId w:val="1001"/>
        </w:numPr>
        <w:pStyle w:val="Compact"/>
      </w:pPr>
      <w:r>
        <w:rPr>
          <w:bCs/>
          <w:b/>
        </w:rPr>
        <w:t xml:space="preserve">Compliance with Regulatory Frameworks:</w:t>
      </w:r>
      <w:r>
        <w:t xml:space="preserve">&gt; The administrator must maintain strict compliance with the Right of Children to Free and Compulsory Education (RTE) Act, 2009. In</w:t>
      </w:r>
    </w:p>
    <w:p>
      <w:pPr>
        <w:numPr>
          <w:ilvl w:val="0"/>
          <w:numId w:val="1000"/>
        </w:numPr>
        <w:pStyle w:val="Compact"/>
      </w:pPr>
      <w:r>
        <w:t xml:space="preserve">India Mumbai&gt;, enforcement of RTE quotas in private unaided schools is a critical administrative function. The administrator acts as the liaison between school management and government regulatory bodies, ensuring that admission processes are equitable and transparent.</w:t>
      </w:r>
    </w:p>
    <w:p>
      <w:pPr>
        <w:numPr>
          <w:ilvl w:val="0"/>
          <w:numId w:val="1001"/>
        </w:numPr>
        <w:pStyle w:val="Compact"/>
      </w:pPr>
      <w:r>
        <w:rPr>
          <w:bCs/>
          <w:b/>
        </w:rPr>
        <w:t xml:space="preserve">Digital Transformation Leadership:</w:t>
      </w:r>
      <w:r>
        <w:t xml:space="preserve">&gt; Post-pandemic, the integration of technology in education has become non-negotiable. An</w:t>
      </w:r>
    </w:p>
    <w:p>
      <w:pPr>
        <w:numPr>
          <w:ilvl w:val="0"/>
          <w:numId w:val="1000"/>
        </w:numPr>
        <w:pStyle w:val="Compact"/>
      </w:pPr>
      <w:r>
        <w:t xml:space="preserve">Education Administrator&gt; in Mumbai is responsible for overseeing the implementation of Smart Classrooms and digital learning platforms. This includes managing teacher training for digital literacy and ensuring that students from low-income households have access to necessary devices or internet connectivity, potentially through partnerships with local tech firms.</w:t>
      </w:r>
    </w:p>
    <w:p>
      <w:pPr>
        <w:numPr>
          <w:ilvl w:val="0"/>
          <w:numId w:val="1001"/>
        </w:numPr>
        <w:pStyle w:val="Compact"/>
      </w:pPr>
      <w:r>
        <w:rPr>
          <w:bCs/>
          <w:b/>
        </w:rPr>
        <w:t xml:space="preserve">Teacher Training and Retention:</w:t>
      </w:r>
      <w:r>
        <w:t xml:space="preserve">&gt; High turnover rates among teaching staff in private institutions pose a challenge. The administrator must design continuous professional development programs that address both pedagogical skills and classroom management techniques suitable for diverse classrooms. In</w:t>
      </w:r>
    </w:p>
    <w:p>
      <w:pPr>
        <w:numPr>
          <w:ilvl w:val="0"/>
          <w:numId w:val="1000"/>
        </w:numPr>
        <w:pStyle w:val="Compact"/>
      </w:pPr>
      <w:r>
        <w:t xml:space="preserve">India Mumbai&gt;, where competitive salaries are common in the corporate sector, retaining talent requires creating a supportive work culture and clear career progression paths.</w:t>
      </w:r>
    </w:p>
    <w:bookmarkEnd w:id="24"/>
    <w:bookmarkStart w:id="27" w:name="strategic-challenges"/>
    <w:p>
      <w:pPr>
        <w:pStyle w:val="Heading2"/>
      </w:pPr>
      <w:r>
        <w:t xml:space="preserve">4. Strategic Challenges and Mitigation Strategies</w:t>
      </w:r>
    </w:p>
    <w:bookmarkStart w:id="25" w:name="student-retention"/>
    <w:p>
      <w:pPr>
        <w:pStyle w:val="Heading3"/>
      </w:pPr>
      <w:r>
        <w:t xml:space="preserve">4.1 Student Retention and Dropout Prevention</w:t>
      </w:r>
    </w:p>
    <w:p>
      <w:pPr>
        <w:pStyle w:val="FirstParagraph"/>
      </w:pPr>
      <w:r>
        <w:t xml:space="preserve">A significant challenge in</w:t>
      </w:r>
    </w:p>
    <w:p>
      <w:pPr>
        <w:pStyle w:val="BodyText"/>
      </w:pPr>
      <w:r>
        <w:t xml:space="preserve">India Mumbai&gt; is the dropout rate among adolescents, particularly girls, who may be pulled into domestic work or early marriage. The</w:t>
      </w:r>
    </w:p>
    <w:p>
      <w:pPr>
        <w:pStyle w:val="BodyText"/>
      </w:pPr>
      <w:r>
        <w:t xml:space="preserve">Education Administrator&gt; must implement robust monitoring systems to track attendance and identify at-risk students. Community engagement is vital here; administrators must work with local community leaders and non-governmental organizations (NGOs) to create safety nets that encourage families to keep their children in school.</w:t>
      </w:r>
    </w:p>
    <w:bookmarkEnd w:id="25"/>
    <w:bookmarkStart w:id="26" w:name="safety-and-security"/>
    <w:p>
      <w:pPr>
        <w:pStyle w:val="Heading3"/>
      </w:pPr>
      <w:r>
        <w:t xml:space="preserve">4.2 Safety and Security Protocols</w:t>
      </w:r>
    </w:p>
    <w:p>
      <w:pPr>
        <w:pStyle w:val="FirstParagraph"/>
      </w:pPr>
      <w:r>
        <w:t xml:space="preserve">Mumbai faces periodic threats from natural disasters, such as monsoon floods, and urban safety concerns. An</w:t>
      </w:r>
    </w:p>
    <w:p>
      <w:pPr>
        <w:pStyle w:val="BodyText"/>
      </w:pPr>
      <w:r>
        <w:t xml:space="preserve">Education Administrator&gt; is tasked with developing emergency response plans that are regularly drilled. This includes ensuring that school infrastructure can withstand heavy rains and that evacuation routes are clearly defined. Furthermore, in the context of</w:t>
      </w:r>
    </w:p>
    <w:p>
      <w:pPr>
        <w:pStyle w:val="BodyText"/>
      </w:pPr>
      <w:r>
        <w:t xml:space="preserve">India Mumbai&gt;, social cohesion is paramount; administrators must foster an environment free from communal or caste-based discrimination to ensure a safe psychological space for all students.</w:t>
      </w:r>
    </w:p>
    <w:bookmarkEnd w:id="26"/>
    <w:bookmarkEnd w:id="27"/>
    <w:bookmarkStart w:id="28" w:name="impact-analysis"/>
    <w:p>
      <w:pPr>
        <w:pStyle w:val="Heading2"/>
      </w:pPr>
      <w:r>
        <w:t xml:space="preserve">5. Impact Analysis and Expected Outcomes</w:t>
      </w:r>
    </w:p>
    <w:p>
      <w:pPr>
        <w:pStyle w:val="FirstParagraph"/>
      </w:pPr>
      <w:r>
        <w:t xml:space="preserve">The successful implementation of the strategies outlined in this</w:t>
      </w:r>
    </w:p>
    <w:p>
      <w:pPr>
        <w:pStyle w:val="BodyText"/>
      </w:pPr>
      <w:r>
        <w:t xml:space="preserve">Project Report&gt; is expected to yield measurable improvements in educational quality. By empowering the</w:t>
      </w:r>
    </w:p>
    <w:p>
      <w:pPr>
        <w:pStyle w:val="BodyText"/>
      </w:pPr>
      <w:r>
        <w:t xml:space="preserve">Education Administrator&gt; with clear guidelines and resources, we anticipate:</w:t>
      </w:r>
    </w:p>
    <w:p>
      <w:pPr>
        <w:numPr>
          <w:ilvl w:val="0"/>
          <w:numId w:val="1002"/>
        </w:numPr>
        <w:pStyle w:val="Compact"/>
      </w:pPr>
      <w:r>
        <w:rPr>
          <w:bCs/>
          <w:b/>
        </w:rPr>
        <w:t xml:space="preserve">Increased Enrollment Rates:</w:t>
      </w:r>
      <w:r>
        <w:t xml:space="preserve">&gt; A reduction in out-of-school children due to better accessibility and community engagement.</w:t>
      </w:r>
    </w:p>
    <w:p>
      <w:pPr>
        <w:numPr>
          <w:ilvl w:val="0"/>
          <w:numId w:val="1002"/>
        </w:numPr>
        <w:pStyle w:val="Compact"/>
      </w:pPr>
      <w:r>
        <w:rPr>
          <w:bCs/>
          <w:b/>
        </w:rPr>
        <w:t xml:space="preserve">Improved Learning Outcomes:</w:t>
      </w:r>
      <w:r>
        <w:t xml:space="preserve">&gt; Through the integration of technology and teacher training, student performance in core subjects is projected to improve.</w:t>
      </w:r>
    </w:p>
    <w:p>
      <w:pPr>
        <w:numPr>
          <w:ilvl w:val="0"/>
          <w:numId w:val="1002"/>
        </w:numPr>
        <w:pStyle w:val="Compact"/>
      </w:pPr>
      <w:r>
        <w:rPr>
          <w:bCs/>
          <w:b/>
        </w:rPr>
        <w:t xml:space="preserve">Equitable Access:</w:t>
      </w:r>
      <w:r>
        <w:t xml:space="preserve">&gt; Enhanced compliance with RTE norms will ensure that quality education is accessible across all socioeconomic strata in</w:t>
      </w:r>
    </w:p>
    <w:p>
      <w:pPr>
        <w:numPr>
          <w:ilvl w:val="0"/>
          <w:numId w:val="1000"/>
        </w:numPr>
        <w:pStyle w:val="Compact"/>
      </w:pPr>
      <w:r>
        <w:t xml:space="preserve">India Mumbai&gt;.</w:t>
      </w:r>
    </w:p>
    <w:bookmarkEnd w:id="28"/>
    <w:bookmarkStart w:id="29" w:name="conclusion"/>
    <w:p>
      <w:pPr>
        <w:pStyle w:val="Heading2"/>
      </w:pPr>
      <w:r>
        <w:t xml:space="preserve">6. Conclusion</w:t>
      </w:r>
    </w:p>
    <w:p>
      <w:pPr>
        <w:pStyle w:val="FirstParagraph"/>
      </w:pPr>
      <w:r>
        <w:t xml:space="preserve">In conclusion, the role of the</w:t>
      </w:r>
    </w:p>
    <w:p>
      <w:pPr>
        <w:pStyle w:val="BodyText"/>
      </w:pPr>
      <w:r>
        <w:t xml:space="preserve">Education Administrator&gt; in</w:t>
      </w:r>
    </w:p>
    <w:p>
      <w:pPr>
        <w:pStyle w:val="BodyText"/>
      </w:pPr>
      <w:r>
        <w:t xml:space="preserve">India Mumbai&gt; is pivotal to achieving educational equity and excellence. The complexity of managing education in one of India’s most vibrant yet challenging urban centers requires a multifaceted approach that combines administrative rigor with compassionate leadership. This report underscores that an effective administrator must be not just a manager, but a change agent who navigates the intricate web of social, economic, and regulatory factors unique to Mumbai. By focusing on resource optimization, digital integration, and inclusive policies, we can build a resilient educational framework that serves the diverse population of</w:t>
      </w:r>
    </w:p>
    <w:p>
      <w:pPr>
        <w:pStyle w:val="BodyText"/>
      </w:pPr>
      <w:r>
        <w:t xml:space="preserve">India Mumbai&gt;. Future phases of this project will involve pilot testing these administrative frameworks in select districts to refine best practices before broader implementation.</w:t>
      </w:r>
    </w:p>
    <w:p>
      <w:r>
        <w:pict>
          <v:rect style="width:0;height:1.5pt" o:hralign="center" o:hrstd="t" o:hr="t"/>
        </w:pict>
      </w:r>
    </w:p>
    <w:p>
      <w:pPr>
        <w:pStyle w:val="FirstParagraph"/>
      </w:pPr>
      <w:r>
        <w:rPr>
          <w:iCs/>
          <w:i/>
        </w:rPr>
        <w:t xml:space="preserve">This document is classified as Internal Use Only. For further inquiries regarding the role of the Education Administrator in India Mumbai, please contact the Project Coordination Unit.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Mumbai</dc:title>
  <dc:creator/>
  <dc:language>en</dc:language>
  <cp:keywords/>
  <dcterms:created xsi:type="dcterms:W3CDTF">2026-07-29T15:59:38Z</dcterms:created>
  <dcterms:modified xsi:type="dcterms:W3CDTF">2026-07-29T15:59:38Z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