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1" w:name="X8f77481194ccb3b8679871eaf178502cf2578f0"/>
    <w:p>
      <w:pPr>
        <w:pStyle w:val="Heading1"/>
      </w:pPr>
      <w:r>
        <w:t xml:space="preserve">Project Report: Strategic Implementation of an Education Administrator Role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Board of Directors</w:t>
      </w:r>
      <w:r>
        <w:br/>
      </w:r>
      <w:r>
        <w:rPr>
          <w:bCs/>
          <w:b/>
        </w:rPr>
        <w:t xml:space="preserve">From:</w:t>
      </w:r>
      <w:r>
        <w:t xml:space="preserve"> </w:t>
      </w:r>
      <w:r>
        <w:t xml:space="preserve">Project Management Office (PMO)</w:t>
      </w:r>
      <w:r>
        <w:br/>
      </w:r>
    </w:p>
    <w:p>
      <w:pPr>
        <w:pStyle w:val="BodyText"/>
      </w:pPr>
      <w:r>
        <w:t xml:space="preserve">Subject:: Establishing the Framework for a Dedicated Education Administrator in Japan Osaka</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establishing a dedicated</w:t>
      </w:r>
      <w:r>
        <w:t xml:space="preserve"> </w:t>
      </w:r>
      <w:r>
        <w:rPr>
          <w:bCs/>
          <w:b/>
        </w:rPr>
        <w:t xml:space="preserve">Education Administrator</w:t>
      </w:r>
      <w:r>
        <w:t xml:space="preserve"> </w:t>
      </w:r>
      <w:r>
        <w:t xml:space="preserve">position within our expanding operations in</w:t>
      </w:r>
      <w:r>
        <w:t xml:space="preserve"> </w:t>
      </w:r>
      <w:r>
        <w:rPr>
          <w:bCs/>
          <w:b/>
        </w:rPr>
        <w:t xml:space="preserve">Japan Osaka</w:t>
      </w:r>
      <w:r>
        <w:t xml:space="preserve">. As the global educational landscape shifts towards digital integration and cross-cultural competency, our organization is poised to capitalize on the dynamic economic and cultural hub that is Osaka. This document details how the role of an</w:t>
      </w:r>
      <w:r>
        <w:t xml:space="preserve"> </w:t>
      </w:r>
      <w:r>
        <w:rPr>
          <w:iCs/>
          <w:i/>
        </w:rPr>
        <w:t xml:space="preserve">Education Administrator</w:t>
      </w:r>
      <w:r>
        <w:t xml:space="preserve"> </w:t>
      </w:r>
      <w:r>
        <w:t xml:space="preserve">will serve as the cornerstone for ensuring regulatory compliance, fostering community engagement, and driving academic excellence in this specific geographic location. The findings suggest that appointing a specialized administrator is critical for navigating the unique educational landscape of</w:t>
      </w:r>
      <w:r>
        <w:t xml:space="preserve"> </w:t>
      </w:r>
      <w:r>
        <w:rPr>
          <w:bCs/>
          <w:b/>
        </w:rPr>
        <w:t xml:space="preserve">Japan Osaka</w:t>
      </w:r>
      <w:r>
        <w:t xml:space="preserve">.</w:t>
      </w:r>
    </w:p>
    <w:bookmarkEnd w:id="20"/>
    <w:bookmarkStart w:id="21" w:name="background-and-context"/>
    <w:p>
      <w:pPr>
        <w:pStyle w:val="Heading2"/>
      </w:pPr>
      <w:r>
        <w:t xml:space="preserve">2. Background and Context</w:t>
      </w:r>
    </w:p>
    <w:p>
      <w:pPr>
        <w:pStyle w:val="FirstParagraph"/>
      </w:pPr>
      <w:r>
        <w:rPr>
          <w:bCs/>
          <w:b/>
        </w:rPr>
        <w:t xml:space="preserve">JAPAN OSAKA: A Strategic Educational Hub</w:t>
      </w:r>
    </w:p>
    <w:p>
      <w:pPr>
        <w:pStyle w:val="BodyText"/>
      </w:pPr>
      <w:r>
        <w:t xml:space="preserve">Osaka, often referred to as the "Kitchen of Japan," is not only a commercial powerhouse but also a center for educational innovation. The city has seen a surge in international partnerships and local initiatives aimed at modernizing curriculum standards. Unlike Tokyo, which is often viewed as the administrative heart of Japanese bureaucracy, Osaka offers a more agile business environment with strong ties to private sector innovation. However, navigating the Ministry of Education, Culture, Sports, Science and Technology (MEXT) regulations requires precise local expertise.</w:t>
      </w:r>
    </w:p>
    <w:p>
      <w:pPr>
        <w:pStyle w:val="BodyText"/>
      </w:pPr>
      <w:r>
        <w:t xml:space="preserve">The current gap in our operational structure is the lack of a localized oversight mechanism for educational initiatives. While our central offices in other regions manage high-level strategy, they lack the granular understanding required to manage day-to-day administrative hurdles specific to</w:t>
      </w:r>
      <w:r>
        <w:t xml:space="preserve"> </w:t>
      </w:r>
      <w:r>
        <w:rPr>
          <w:bCs/>
          <w:b/>
        </w:rPr>
        <w:t xml:space="preserve">Japan Osaka</w:t>
      </w:r>
      <w:r>
        <w:t xml:space="preserve">. This disconnect has led to delays in curriculum approval and suboptimal community relations. Therefore, the creation of a localized</w:t>
      </w:r>
      <w:r>
        <w:t xml:space="preserve"> </w:t>
      </w:r>
      <w:r>
        <w:rPr>
          <w:iCs/>
          <w:i/>
        </w:rPr>
        <w:t xml:space="preserve">Education Administrator</w:t>
      </w:r>
      <w:r>
        <w:t xml:space="preserve"> </w:t>
      </w:r>
      <w:r>
        <w:t xml:space="preserve">role is no longer optional but imperative.</w:t>
      </w:r>
    </w:p>
    <w:bookmarkEnd w:id="21"/>
    <w:bookmarkStart w:id="22" w:name="X8a62fd6f5c9c14458fb0f8effd7dce4d1855d35"/>
    <w:p>
      <w:pPr>
        <w:pStyle w:val="Heading2"/>
      </w:pPr>
      <w:r>
        <w:t xml:space="preserve">3. Objectives of the Education Administrator Role</w:t>
      </w:r>
    </w:p>
    <w:p>
      <w:pPr>
        <w:pStyle w:val="FirstParagraph"/>
      </w:pPr>
      <w:r>
        <w:t xml:space="preserve">The primary objective of this project is to define and implement a role that bridges the gap between international educational standards and local Japanese expectations. The specific objectives for the</w:t>
      </w:r>
      <w:r>
        <w:t xml:space="preserve"> </w:t>
      </w:r>
      <w:r>
        <w:rPr>
          <w:bCs/>
          <w:b/>
        </w:rPr>
        <w:t xml:space="preserve">Education Administrator</w:t>
      </w:r>
      <w:r>
        <w:t xml:space="preserve"> </w:t>
      </w:r>
      <w:r>
        <w:t xml:space="preserve">in</w:t>
      </w:r>
      <w:r>
        <w:t xml:space="preserve"> </w:t>
      </w:r>
      <w:r>
        <w:rPr>
          <w:bCs/>
          <w:b/>
        </w:rPr>
        <w:t xml:space="preserve">Japan Osaka</w:t>
      </w:r>
      <w:r>
        <w:t xml:space="preserve"> </w:t>
      </w:r>
      <w:r>
        <w:t xml:space="preserve">include:</w:t>
      </w:r>
    </w:p>
    <w:p>
      <w:pPr>
        <w:numPr>
          <w:ilvl w:val="0"/>
          <w:numId w:val="1001"/>
        </w:numPr>
        <w:pStyle w:val="Compact"/>
      </w:pPr>
      <w:r>
        <w:t xml:space="preserve">Regulatory Compliance:: Ensuring all educational activities adhere to MEXT guidelines and local Osaka Prefectural Board of Education regulations.</w:t>
      </w:r>
    </w:p>
    <w:p>
      <w:pPr>
        <w:numPr>
          <w:ilvl w:val="0"/>
          <w:numId w:val="1001"/>
        </w:numPr>
        <w:pStyle w:val="Compact"/>
      </w:pPr>
      <w:r>
        <w:t xml:space="preserve">Cultural Integration:: Adapting international curricula to respect local cultural nuances, ensuring that educational materials are relevant and respectful to students in</w:t>
      </w:r>
      <w:r>
        <w:t xml:space="preserve"> </w:t>
      </w:r>
      <w:r>
        <w:rPr>
          <w:bCs/>
          <w:b/>
        </w:rPr>
        <w:t xml:space="preserve">Japan Osaka</w:t>
      </w:r>
      <w:r>
        <w:t xml:space="preserve">.</w:t>
      </w:r>
    </w:p>
    <w:p>
      <w:pPr>
        <w:numPr>
          <w:ilvl w:val="0"/>
          <w:numId w:val="1001"/>
        </w:numPr>
        <w:pStyle w:val="Compact"/>
      </w:pPr>
      <w:r>
        <w:t xml:space="preserve">Stakeholder Management:: Acting as the primary liaison between our organization, local schools, parents, and government officials.</w:t>
      </w:r>
    </w:p>
    <w:p>
      <w:pPr>
        <w:numPr>
          <w:ilvl w:val="0"/>
          <w:numId w:val="1001"/>
        </w:numPr>
        <w:pStyle w:val="Compact"/>
      </w:pPr>
      <w:r>
        <w:rPr>
          <w:bCs/>
          <w:b/>
        </w:rPr>
        <w:t xml:space="preserve">Data Management: Strong&gt;: Implementing robust systems for tracking student performance and administrative metrics in compliance with Japanese data privacy laws (APPI).</w:t>
      </w:r>
    </w:p>
    <w:bookmarkEnd w:id="22"/>
    <w:bookmarkStart w:id="26" w:name="scope-of-work"/>
    <w:p>
      <w:pPr>
        <w:pStyle w:val="Heading2"/>
      </w:pPr>
      <w:r>
        <w:t xml:space="preserve">4. Scope of Work</w:t>
      </w:r>
    </w:p>
    <w:p>
      <w:pPr>
        <w:pStyle w:val="FirstParagraph"/>
      </w:pPr>
      <w:r>
        <w:t xml:space="preserve">The scope of the</w:t>
      </w:r>
      <w:r>
        <w:t xml:space="preserve"> </w:t>
      </w:r>
      <w:r>
        <w:rPr>
          <w:iCs/>
          <w:i/>
        </w:rPr>
        <w:t xml:space="preserve">Education Administrator</w:t>
      </w:r>
      <w:r>
        <w:t xml:space="preserve"> </w:t>
      </w:r>
      <w:r>
        <w:t xml:space="preserve">will be extensive, covering both strategic planning and tactical execution within the region.</w:t>
      </w:r>
    </w:p>
    <w:p>
      <w:pPr>
        <w:pStyle w:val="BodyText"/>
      </w:pPr>
      <w:r>
        <w:t xml:space="preserve">"</w:t>
      </w:r>
    </w:p>
    <w:bookmarkStart w:id="23" w:name="a-curriculum-localization"/>
    <w:p>
      <w:pPr>
        <w:pStyle w:val="Heading3"/>
      </w:pPr>
      <w:r>
        <w:rPr>
          <w:bCs/>
          <w:b/>
        </w:rPr>
        <w:t xml:space="preserve">a) Curriculum Localization</w:t>
      </w:r>
    </w:p>
    <w:p>
      <w:pPr>
        <w:pStyle w:val="FirstParagraph"/>
      </w:pPr>
      <w:r>
        <w:t xml:space="preserve">"</w:t>
      </w:r>
      <w:r>
        <w:t xml:space="preserve"> </w:t>
      </w:r>
      <w:r>
        <w:t xml:space="preserve">The administrator will work closely with content developers to ensure that materials are culturally appropriate for students in</w:t>
      </w:r>
    </w:p>
    <w:p>
      <w:pPr>
        <w:pStyle w:val="BodyText"/>
      </w:pPr>
      <w:r>
        <w:t xml:space="preserve">Japan Osaka. This involves more than just translation; it requires contextual adaptation. For instance, case studies used in business education must reflect the corporate environment of the Kansai region rather than Tokyo-centric examples.</w:t>
      </w:r>
    </w:p>
    <w:p>
      <w:pPr>
        <w:pStyle w:val="BodyText"/>
      </w:pPr>
      <w:r>
        <w:t xml:space="preserve">"</w:t>
      </w:r>
    </w:p>
    <w:bookmarkEnd w:id="23"/>
    <w:bookmarkStart w:id="24" w:name="b-administrative-oversight"/>
    <w:p>
      <w:pPr>
        <w:pStyle w:val="Heading3"/>
      </w:pPr>
      <w:r>
        <w:rPr>
          <w:bCs/>
          <w:b/>
        </w:rPr>
        <w:t xml:space="preserve">b) Administrative Oversight</w:t>
      </w:r>
    </w:p>
    <w:p>
      <w:pPr>
        <w:pStyle w:val="FirstParagraph"/>
      </w:pPr>
      <w:r>
        <w:t xml:space="preserve">"</w:t>
      </w:r>
      <w:r>
        <w:t xml:space="preserve"> </w:t>
      </w:r>
      <w:r>
        <w:t xml:space="preserve">The administrator will oversee all non-academic operations related to education delivery. This includes facility management, vendor negotiations for educational resources, and scheduling optimization. Given the high density of urban living in Osaka efficient logistical planning is crucial.</w:t>
      </w:r>
    </w:p>
    <w:p>
      <w:pPr>
        <w:pStyle w:val="BodyText"/>
      </w:pPr>
      <w:r>
        <w:t xml:space="preserve">"</w:t>
      </w:r>
    </w:p>
    <w:bookmarkEnd w:id="24"/>
    <w:bookmarkStart w:id="25" w:name="c-community-engagement"/>
    <w:p>
      <w:pPr>
        <w:pStyle w:val="Heading3"/>
      </w:pPr>
      <w:r>
        <w:rPr>
          <w:bCs/>
          <w:b/>
        </w:rPr>
        <w:t xml:space="preserve">c) Community Engagement</w:t>
      </w:r>
    </w:p>
    <w:p>
      <w:pPr>
        <w:pStyle w:val="FirstParagraph"/>
      </w:pPr>
      <w:r>
        <w:t xml:space="preserve">"</w:t>
      </w:r>
      <w:r>
        <w:t xml:space="preserve"> </w:t>
      </w:r>
      <w:r>
        <w:t xml:space="preserve">A significant portion of the role involves building trust with local communities. The administrator will organize open houses, parent-teacher associations meetings, and community seminars. In</w:t>
      </w:r>
    </w:p>
    <w:p>
      <w:pPr>
        <w:pStyle w:val="BodyText"/>
      </w:pPr>
      <w:r>
        <w:t xml:space="preserve">Japan Osaka, community harmony (Wa) is paramount; thus, the administrator must be skilled in consensus-building and polite negotiation.</w:t>
      </w:r>
    </w:p>
    <w:p>
      <w:pPr>
        <w:pStyle w:val="BodyText"/>
      </w:pPr>
      <w:r>
        <w:t xml:space="preserve">"</w:t>
      </w:r>
    </w:p>
    <w:bookmarkEnd w:id="25"/>
    <w:bookmarkEnd w:id="26"/>
    <w:bookmarkStart w:id="27" w:name="challenges-and-mitigation-strategies"/>
    <w:p>
      <w:pPr>
        <w:pStyle w:val="Heading2"/>
      </w:pPr>
      <w:r>
        <w:t xml:space="preserve">5. Challenges and Mitigation Strategies</w:t>
      </w:r>
    </w:p>
    <w:p>
      <w:pPr>
        <w:pStyle w:val="FirstParagraph"/>
      </w:pPr>
      <w:r>
        <w:t xml:space="preserve">"</w:t>
      </w:r>
    </w:p>
    <w:p>
      <w:pPr>
        <w:pStyle w:val="BodyText"/>
      </w:pPr>
      <w:r>
        <w:t xml:space="preserve">"</w:t>
      </w:r>
    </w:p>
    <w:p>
      <w:pPr>
        <w:pStyle w:val="BodyText"/>
      </w:pPr>
      <w:r>
        <w:t xml:space="preserve">"</w:t>
      </w:r>
    </w:p>
    <w:p>
      <w:pPr>
        <w:pStyle w:val="BodyText"/>
      </w:pPr>
      <w:r>
        <w:t xml:space="preserve">Challenge Area</w:t>
      </w:r>
    </w:p>
    <w:p>
      <w:pPr>
        <w:pStyle w:val="BodyText"/>
      </w:pPr>
      <w:r>
        <w:t xml:space="preserve">Description</w:t>
      </w:r>
    </w:p>
    <w:p>
      <w:pPr>
        <w:pStyle w:val="BodyText"/>
      </w:pPr>
      <w:r>
        <w:t xml:space="preserve">Mitigation Strategy for Education Administrator in Japan Osaka</w:t>
      </w:r>
    </w:p>
    <w:p>
      <w:pPr>
        <w:pStyle w:val="BodyText"/>
      </w:pPr>
      <w:r>
        <w:t xml:space="preserve">tbody"&gt;"</w:t>
      </w:r>
    </w:p>
    <w:p>
      <w:pPr>
        <w:pStyle w:val="BodyText"/>
      </w:pPr>
      <w:r>
        <w:t xml:space="preserve">"</w:t>
      </w:r>
    </w:p>
    <w:p>
      <w:pPr>
        <w:pStyle w:val="BodyText"/>
      </w:pPr>
      <w:r>
        <w:t xml:space="preserve">Linguistic Barriers</w:t>
      </w:r>
      <w:r>
        <w:br/>
      </w:r>
      <w:r>
        <w:t xml:space="preserve">/ Cultural Nuance</w:t>
      </w:r>
      <w:r>
        <w:br/>
      </w:r>
    </w:p>
    <w:p>
      <w:pPr>
        <w:pStyle w:val="BodyText"/>
      </w:pPr>
      <w:r>
        <w:t xml:space="preserve">"</w:t>
      </w:r>
    </w:p>
    <w:p>
      <w:pPr>
        <w:pStyle w:val="BodyText"/>
      </w:pPr>
      <w:r>
        <w:t xml:space="preserve">Misunderstanding of implicit communication styles or technical educational terminology.</w:t>
      </w:r>
      <w:r>
        <w:br/>
      </w:r>
    </w:p>
    <w:p>
      <w:pPr>
        <w:pStyle w:val="BodyText"/>
      </w:pPr>
      <w:r>
        <w:t xml:space="preserve">"</w:t>
      </w:r>
    </w:p>
    <w:p>
      <w:pPr>
        <w:numPr>
          <w:ilvl w:val="0"/>
          <w:numId w:val="1002"/>
        </w:numPr>
        <w:pStyle w:val="Compact"/>
      </w:pPr>
      <w:r>
        <w:t xml:space="preserve">Hire bilingual staff and provide cross-cultural training to the administrator.</w:t>
      </w:r>
    </w:p>
    <w:p>
      <w:pPr>
        <w:numPr>
          <w:ilvl w:val="0"/>
          <w:numId w:val="1002"/>
        </w:numPr>
        <w:pStyle w:val="Compact"/>
      </w:pPr>
      <w:r>
        <w:t xml:space="preserve">Partner with local Japanese academic consultants for validation of materials.</w:t>
      </w:r>
    </w:p>
    <w:p>
      <w:pPr>
        <w:pStyle w:val="FirstParagraph"/>
      </w:pPr>
      <w:r>
        <w:t xml:space="preserve">"</w:t>
      </w:r>
    </w:p>
    <w:p>
      <w:pPr>
        <w:pStyle w:val="BodyText"/>
      </w:pPr>
      <w:r>
        <w:t xml:space="preserve">tbody"&gt;"</w:t>
      </w:r>
    </w:p>
    <w:p>
      <w:pPr>
        <w:pStyle w:val="BodyText"/>
      </w:pPr>
      <w:r>
        <w:t xml:space="preserve">"</w:t>
      </w:r>
    </w:p>
    <w:p>
      <w:pPr>
        <w:pStyle w:val="BodyText"/>
      </w:pPr>
      <w:r>
        <w:t xml:space="preserve">Bureaucratic Delays</w:t>
      </w:r>
      <w:r>
        <w:br/>
      </w:r>
      <w:r>
        <w:br/>
      </w:r>
      <w:r>
        <w:t xml:space="preserve">/ Red Tape</w:t>
      </w:r>
      <w:r>
        <w:br/>
      </w:r>
    </w:p>
    <w:p>
      <w:pPr>
        <w:pStyle w:val="BodyText"/>
      </w:pPr>
      <w:r>
        <w:t xml:space="preserve">"</w:t>
      </w:r>
    </w:p>
    <w:p>
      <w:pPr>
        <w:pStyle w:val="BodyText"/>
      </w:pPr>
      <w:r>
        <w:t xml:space="preserve">The administrator will dedicate specific resources to maintaining relationships with local government offices.</w:t>
      </w:r>
    </w:p>
    <w:p>
      <w:pPr>
        <w:pStyle w:val="BodyText"/>
      </w:pPr>
      <w:r>
        <w:t xml:space="preserve">Implement early engagement strategies for regulatory approvals, well in advance of deadlines.</w:t>
      </w:r>
      <w:r>
        <w:rPr>
          <w:bCs/>
          <w:b/>
        </w:rPr>
        <w:t xml:space="preserve">/Bureaucratic Delays</w:t>
      </w:r>
    </w:p>
    <w:p>
      <w:pPr>
        <w:pStyle w:val="BodyText"/>
      </w:pPr>
      <w:r>
        <w:t xml:space="preserve">"</w:t>
      </w:r>
    </w:p>
    <w:p>
      <w:pPr>
        <w:pStyle w:val="BodyText"/>
      </w:pPr>
      <w:r>
        <w:t xml:space="preserve">Japan has complex bureaucratic processes. Delays in permit issuance can stall projects.</w:t>
      </w:r>
      <w:r>
        <w:br/>
      </w:r>
    </w:p>
    <w:p>
      <w:pPr>
        <w:pStyle w:val="BodyText"/>
      </w:pPr>
      <w:r>
        <w:t xml:space="preserve">"</w:t>
      </w:r>
    </w:p>
    <w:p>
      <w:pPr>
        <w:numPr>
          <w:ilvl w:val="0"/>
          <w:numId w:val="1003"/>
        </w:numPr>
        <w:pStyle w:val="Compact"/>
      </w:pPr>
      <w:r>
        <w:t xml:space="preserve">The administrator will dedicate specific resources to maintaining relationships with local government offices.</w:t>
      </w:r>
    </w:p>
    <w:p>
      <w:pPr>
        <w:numPr>
          <w:ilvl w:val="0"/>
          <w:numId w:val="1003"/>
        </w:numPr>
        <w:pStyle w:val="Compact"/>
      </w:pPr>
      <w:r>
        <w:t xml:space="preserve">Implement early engagement strategies for regulatory approvals, well in advance of deadlines.</w:t>
      </w:r>
    </w:p>
    <w:p>
      <w:pPr>
        <w:pStyle w:val="FirstParagraph"/>
      </w:pPr>
      <w:r>
        <w:t xml:space="preserve">"</w:t>
      </w:r>
    </w:p>
    <w:p>
      <w:pPr>
        <w:pStyle w:val="BodyText"/>
      </w:pPr>
      <w:r>
        <w:t xml:space="preserve">tbody"&gt;"</w:t>
      </w:r>
    </w:p>
    <w:p>
      <w:pPr>
        <w:pStyle w:val="BodyText"/>
      </w:pPr>
      <w:r>
        <w:t xml:space="preserve">"</w:t>
      </w:r>
    </w:p>
    <w:p>
      <w:pPr>
        <w:pStyle w:val="BodyText"/>
      </w:pPr>
      <w:r>
        <w:t xml:space="preserve">Talent Acquisition</w:t>
      </w:r>
      <w:r>
        <w:br/>
      </w:r>
    </w:p>
    <w:p>
      <w:pPr>
        <w:pStyle w:val="BodyText"/>
      </w:pPr>
      <w:r>
        <w:t xml:space="preserve">"</w:t>
      </w:r>
    </w:p>
    <w:p>
      <w:pPr>
        <w:pStyle w:val="BodyText"/>
      </w:pPr>
      <w:r>
        <w:t xml:space="preserve">Rapidly changing job market in Osaka requires competitive compensation packages.</w:t>
      </w:r>
    </w:p>
    <w:p>
      <w:pPr>
        <w:pStyle w:val="BodyText"/>
      </w:pPr>
      <w:r>
        <w:t xml:space="preserve">The administrator will work with HR to tailor benefits that appeal to local educational professionals, such as commuting subsidies and seasonal bonuses.</w:t>
      </w:r>
      <w:r>
        <w:rPr>
          <w:bCs/>
          <w:b/>
        </w:rPr>
        <w:t xml:space="preserve">/Talent Acquisition</w:t>
      </w:r>
    </w:p>
    <w:p>
      <w:pPr>
        <w:pStyle w:val="BodyText"/>
      </w:pPr>
      <w:r>
        <w:t xml:space="preserve">"</w:t>
      </w:r>
    </w:p>
    <w:p>
      <w:pPr>
        <w:pStyle w:val="BodyText"/>
      </w:pPr>
      <w:r>
        <w:t xml:space="preserve">Finding qualified candidates who understand both international education standards and local Osaka culture is difficult.</w:t>
      </w:r>
      <w:r>
        <w:br/>
      </w:r>
    </w:p>
    <w:p>
      <w:pPr>
        <w:pStyle w:val="BodyText"/>
      </w:pPr>
      <w:r>
        <w:t xml:space="preserve">"</w:t>
      </w:r>
    </w:p>
    <w:p>
      <w:pPr>
        <w:numPr>
          <w:ilvl w:val="0"/>
          <w:numId w:val="1004"/>
        </w:numPr>
        <w:pStyle w:val="Compact"/>
      </w:pPr>
      <w:r>
        <w:t xml:space="preserve">Rapidly changing job market in Osaka requires competitive compensation packages.</w:t>
      </w:r>
    </w:p>
    <w:p>
      <w:pPr>
        <w:numPr>
          <w:ilvl w:val="0"/>
          <w:numId w:val="1004"/>
        </w:numPr>
        <w:pStyle w:val="Compact"/>
      </w:pPr>
      <w:r>
        <w:t xml:space="preserve">The administrator will work with HR to tailor benefits that appeal to local educational professionals, such as commuting subsidies and seasonal bonuses.</w:t>
      </w:r>
    </w:p>
    <w:p>
      <w:pPr>
        <w:pStyle w:val="FirstParagraph"/>
      </w:pPr>
      <w:r>
        <w:t xml:space="preserve">tbody"&gt;"</w:t>
      </w:r>
    </w:p>
    <w:p>
      <w:pPr>
        <w:pStyle w:val="BodyText"/>
      </w:pPr>
      <w:r>
        <w:t xml:space="preserve">"</w:t>
      </w:r>
    </w:p>
    <w:bookmarkEnd w:id="27"/>
    <w:bookmarkStart w:id="30" w:name="implementation-timeline"/>
    <w:p>
      <w:pPr>
        <w:pStyle w:val="Heading2"/>
      </w:pPr>
      <w:r>
        <w:rPr>
          <w:bCs/>
          <w:b/>
        </w:rPr>
        <w:t xml:space="preserve">6. Implementation Timeline</w:t>
      </w:r>
    </w:p>
    <w:p>
      <w:pPr>
        <w:pStyle w:val="FirstParagraph"/>
      </w:pPr>
      <w:r>
        <w:t xml:space="preserve">"</w:t>
      </w:r>
    </w:p>
    <w:p>
      <w:pPr>
        <w:pStyle w:val="BodyText"/>
      </w:pPr>
      <w:r>
        <w:t xml:space="preserve">The rollout of the Education Administrator position in</w:t>
      </w:r>
    </w:p>
    <w:p>
      <w:pPr>
        <w:pStyle w:val="BodyText"/>
      </w:pPr>
      <w:r>
        <w:t xml:space="preserve">JAPAN OSAKA will follow a phased approach over the next six months.</w:t>
      </w:r>
    </w:p>
    <w:p>
      <w:pPr>
        <w:pStyle w:val="BodyText"/>
      </w:pPr>
      <w:r>
        <w:t xml:space="preserve">"</w:t>
      </w:r>
    </w:p>
    <w:p>
      <w:pPr>
        <w:pStyle w:val="BodyText"/>
      </w:pPr>
      <w:r>
        <w:rPr>
          <w:bCs/>
          <w:b/>
        </w:rPr>
        <w:t xml:space="preserve">Phase 1: Recruitment and Onboarding (Months 1-2)</w:t>
      </w:r>
      <w:r>
        <w:br/>
      </w:r>
      <w:r>
        <w:t xml:space="preserve">Identify candidates with experience in international education and local Japanese administrative practices. Prioritize those with existing networks in Osaka.</w:t>
      </w:r>
      <w:r>
        <w:rPr>
          <w:bCs/>
          <w:b/>
        </w:rPr>
        <w:t xml:space="preserve">/Phase 1</w:t>
      </w:r>
    </w:p>
    <w:p>
      <w:pPr>
        <w:pStyle w:val="BodyText"/>
      </w:pPr>
      <w:r>
        <w:t xml:space="preserve">Phase 2: Infrastructure Setup (Month3)</w:t>
      </w:r>
      <w:r>
        <w:br/>
      </w:r>
    </w:p>
    <w:p>
      <w:pPr>
        <w:pStyle w:val="BodyText"/>
      </w:pPr>
      <w:r>
        <w:t xml:space="preserve">"</w:t>
      </w:r>
    </w:p>
    <w:p>
      <w:pPr>
        <w:pStyle w:val="BodyText"/>
      </w:pPr>
      <w:r>
        <w:t xml:space="preserve">Establish the local office, procure necessary technology for data management, and set up banking relationships.</w:t>
      </w:r>
      <w:r>
        <w:br/>
      </w:r>
    </w:p>
    <w:p>
      <w:pPr>
        <w:pStyle w:val="BodyText"/>
      </w:pPr>
      <w:r>
        <w:t xml:space="preserve">"</w:t>
      </w:r>
    </w:p>
    <w:p>
      <w:pPr>
        <w:pStyle w:val="BodyText"/>
      </w:pPr>
      <w:r>
        <w:t xml:space="preserve">Infrastructure Setup (Month 3)</w:t>
      </w:r>
    </w:p>
    <w:p>
      <w:pPr>
        <w:pStyle w:val="BodyText"/>
      </w:pPr>
      <w:r>
        <w:t xml:space="preserve">Phase 3: Pilot Program Launch (Months 4-5)</w:t>
      </w:r>
      <w:r>
        <w:br/>
      </w:r>
    </w:p>
    <w:p>
      <w:pPr>
        <w:pStyle w:val="BodyText"/>
      </w:pPr>
      <w:r>
        <w:t xml:space="preserve">"</w:t>
      </w:r>
    </w:p>
    <w:p>
      <w:pPr>
        <w:pStyle w:val="BodyText"/>
      </w:pPr>
      <w:r>
        <w:t xml:space="preserve">Initiate small-scale educational programs to test administrative workflows and gather feedback from local stakeholders.</w:t>
      </w:r>
      <w:r>
        <w:br/>
      </w:r>
    </w:p>
    <w:p>
      <w:pPr>
        <w:pStyle w:val="BodyText"/>
      </w:pPr>
      <w:r>
        <w:t xml:space="preserve">"</w:t>
      </w:r>
    </w:p>
    <w:p>
      <w:pPr>
        <w:pStyle w:val="BodyText"/>
      </w:pPr>
      <w:r>
        <w:t xml:space="preserve">Pilot Program Launch (Months 4-5)</w:t>
      </w:r>
    </w:p>
    <w:p>
      <w:pPr>
        <w:pStyle w:val="BodyText"/>
      </w:pPr>
      <w:r>
        <w:t xml:space="preserve">Phase 4: Full Operationalization (Month6)</w:t>
      </w:r>
      <w:r>
        <w:br/>
      </w:r>
    </w:p>
    <w:p>
      <w:pPr>
        <w:pStyle w:val="BodyText"/>
      </w:pPr>
      <w:r>
        <w:t xml:space="preserve">"</w:t>
      </w:r>
    </w:p>
    <w:p>
      <w:pPr>
        <w:pStyle w:val="BodyText"/>
      </w:pPr>
      <w:r>
        <w:t xml:space="preserve">Expand services based on pilot results. The Education Administrator will present the first quarterly report to global headquarters.</w:t>
      </w:r>
      <w:r>
        <w:br/>
      </w:r>
    </w:p>
    <w:p>
      <w:pPr>
        <w:pStyle w:val="BodyText"/>
      </w:pPr>
      <w:r>
        <w:t xml:space="preserve">"</w:t>
      </w:r>
    </w:p>
    <w:p>
      <w:pPr>
        <w:pStyle w:val="BodyText"/>
      </w:pPr>
      <w:r>
        <w:t xml:space="preserve">Full Operationalization (Month 6)</w:t>
      </w:r>
    </w:p>
    <w:p>
      <w:pPr>
        <w:pStyle w:val="BodyText"/>
      </w:pPr>
      <w:r>
        <w:t xml:space="preserve">7. Budget and Resource Allocation</w:t>
      </w:r>
    </w:p>
    <w:p>
      <w:pPr>
        <w:pStyle w:val="BodyText"/>
      </w:pPr>
      <w:r>
        <w:t xml:space="preserve">"</w:t>
      </w:r>
    </w:p>
    <w:p>
      <w:pPr>
        <w:pStyle w:val="BodyText"/>
      </w:pPr>
      <w:r>
        <w:t xml:space="preserve">The budget for this initiative includes salaries for the Education Administrator and support staff, office lease in Osaka, marketing costs for community engagement, and compliance consulting fees. Detailed financial projections are attached in Appendix A (not included in this summary document). It is projected that the return on investment will be realized through increased enrollment numbers and reduced legal risks associated with non-compliance.</w:t>
      </w:r>
    </w:p>
    <w:p>
      <w:pPr>
        <w:pStyle w:val="BodyText"/>
      </w:pPr>
      <w:r>
        <w:t xml:space="preserve">"</w:t>
      </w:r>
    </w:p>
    <w:bookmarkStart w:id="28" w:name="conclusion"/>
    <w:p>
      <w:pPr>
        <w:pStyle w:val="Heading2"/>
      </w:pPr>
      <w:r>
        <w:rPr>
          <w:bCs/>
          <w:b/>
        </w:rPr>
        <w:t xml:space="preserve">8. Conclusion</w:t>
      </w:r>
    </w:p>
    <w:p>
      <w:pPr>
        <w:pStyle w:val="FirstParagraph"/>
      </w:pPr>
      <w:r>
        <w:t xml:space="preserve">"</w:t>
      </w:r>
    </w:p>
    <w:p>
      <w:pPr>
        <w:pStyle w:val="BodyText"/>
      </w:pPr>
      <w:r>
        <w:t xml:space="preserve">The establishment of a dedicated</w:t>
      </w:r>
      <w:r>
        <w:t xml:space="preserve"> </w:t>
      </w:r>
      <w:r>
        <w:rPr>
          <w:iCs/>
          <w:i/>
        </w:rPr>
        <w:t xml:space="preserve">Education Administrator</w:t>
      </w:r>
      <w:r>
        <w:t xml:space="preserve"> </w:t>
      </w:r>
      <w:r>
        <w:t xml:space="preserve">role is a critical strategic move for our organization's success in</w:t>
      </w:r>
    </w:p>
    <w:p>
      <w:pPr>
        <w:pStyle w:val="BodyText"/>
      </w:pPr>
      <w:r>
        <w:t xml:space="preserve">JAPAN OSAKA. By localizing administrative oversight, we can navigate the complexities of the Japanese educational system while delivering high-quality, culturally relevant education. This role will not only ensure compliance but also foster deep community roots in Osaka, positioning us as a trusted partner in education within the region.</w:t>
      </w:r>
    </w:p>
    <w:p>
      <w:pPr>
        <w:pStyle w:val="BodyText"/>
      </w:pPr>
      <w:r>
        <w:t xml:space="preserve">"</w:t>
      </w:r>
    </w:p>
    <w:p>
      <w:pPr>
        <w:pStyle w:val="BodyText"/>
      </w:pPr>
      <w:r>
        <w:t xml:space="preserve">We recommend immediate approval to proceed with Phase 1: Recruitment and Onboarding.</w:t>
      </w:r>
    </w:p>
    <w:p>
      <w:pPr>
        <w:pStyle w:val="BodyText"/>
      </w:pPr>
      <w:r>
        <w:t xml:space="preserve">"</w:t>
      </w:r>
    </w:p>
    <w:bookmarkEnd w:id="28"/>
    <w:bookmarkStart w:id="29" w:name="recommendations"/>
    <w:p>
      <w:pPr>
        <w:pStyle w:val="Heading2"/>
      </w:pPr>
      <w:r>
        <w:rPr>
          <w:bCs/>
          <w:b/>
        </w:rPr>
        <w:t xml:space="preserve">9. Recommendations</w:t>
      </w:r>
    </w:p>
    <w:p>
      <w:pPr>
        <w:pStyle w:val="FirstParagraph"/>
      </w:pPr>
      <w:r>
        <w:t xml:space="preserve">"</w:t>
      </w:r>
    </w:p>
    <w:p>
      <w:pPr>
        <w:numPr>
          <w:ilvl w:val="0"/>
          <w:numId w:val="1005"/>
        </w:numPr>
        <w:pStyle w:val="Compact"/>
      </w:pPr>
      <w:r>
        <w:t xml:space="preserve">Approve the budget for the Education Administrator position immediately.</w:t>
      </w:r>
    </w:p>
    <w:p>
      <w:pPr>
        <w:numPr>
          <w:ilvl w:val="0"/>
          <w:numId w:val="1005"/>
        </w:numPr>
        <w:pStyle w:val="Compact"/>
      </w:pPr>
      <w:r>
        <w:t xml:space="preserve">Authorize HR to begin sourcing candidates with bilingual capabilities in English and Japanese, preferably with prior experience in Osaka Prefecture./Recommendations</w:t>
      </w:r>
    </w:p>
    <w:p>
      <w:pPr>
        <w:pStyle w:val="FirstParagraph"/>
      </w:pPr>
      <w:r>
        <w:t xml:space="preserve">"</w:t>
      </w:r>
    </w:p>
    <w:p>
      <w:r>
        <w:pict>
          <v:rect style="width:0;height:1.5pt" o:hralign="center" o:hrstd="t" o:hr="t"/>
        </w:pict>
      </w:r>
    </w:p>
    <w:p>
      <w:pPr>
        <w:pStyle w:val="FirstParagraph"/>
      </w:pPr>
      <w:r>
        <w:rPr>
          <w:iCs/>
          <w:i/>
        </w:rPr>
        <w:t xml:space="preserve">Note: This document is confidential and intended for internal use by project stakeholders. All references to "Education Administrator" are specific to the role defined herein within the context of operations in Japan Osaka.</w:t>
      </w:r>
    </w:p>
    <w:p>
      <w:pPr>
        <w:pStyle w:val="BodyText"/>
      </w:pPr>
      <w:r>
        <w:t xml:space="preserve">"</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Japan Osaka</dc:title>
  <dc:creator/>
  <dc:language>en</dc:language>
  <cp:keywords/>
  <dcterms:created xsi:type="dcterms:W3CDTF">2026-07-29T04:49:33Z</dcterms:created>
  <dcterms:modified xsi:type="dcterms:W3CDTF">2026-07-29T04:49:33Z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