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Framework</w:t>
      </w:r>
      <w:r>
        <w:t xml:space="preserve"> </w:t>
      </w:r>
      <w:r>
        <w:t xml:space="preserve">in</w:t>
      </w:r>
      <w:r>
        <w:t xml:space="preserve"> </w:t>
      </w:r>
      <w:r>
        <w:t xml:space="preserve">Russia</w:t>
      </w:r>
      <w:r>
        <w:t xml:space="preserve"> </w:t>
      </w:r>
      <w:r>
        <w:t xml:space="preserve">Saint</w:t>
      </w:r>
      <w:r>
        <w:t xml:space="preserve"> </w:t>
      </w:r>
      <w:r>
        <w:t xml:space="preserve">Petersburg</w:t>
      </w:r>
    </w:p>
    <w:bookmarkStart w:id="36" w:name="Xdbcc2f691b15ad6addd51292f5e334ac5b57ace"/>
    <w:p>
      <w:pPr>
        <w:pStyle w:val="Heading1"/>
      </w:pPr>
      <w:r>
        <w:t xml:space="preserve">Project Report: Strategic Implementation of an Education Administrator Framework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Science, Russian Federation &amp; Saint Petersburg City Administration</w:t>
      </w:r>
      <w:r>
        <w:br/>
      </w:r>
      <w:r>
        <w:rPr>
          <w:bCs/>
          <w:b/>
        </w:rPr>
        <w:t xml:space="preserve">From:</w:t>
      </w:r>
      <w:r>
        <w:t xml:space="preserve"> </w:t>
      </w:r>
      <w:r>
        <w:t xml:space="preserve">Project Management Office</w:t>
      </w:r>
      <w:r>
        <w:br/>
      </w:r>
      <w:r>
        <w:rPr>
          <w:bCs/>
          <w:b/>
        </w:rPr>
        <w:t xml:space="preserve">Subject:</w:t>
      </w:r>
      <w:r>
        <w:t xml:space="preserve"> </w:t>
      </w:r>
      <w:r>
        <w:t xml:space="preserve">Comprehensive Strategy for Educational Excellence in Russia Saint Petersburg</w:t>
      </w:r>
    </w:p>
    <w:bookmarkStart w:id="20" w:name="executive-summary"/>
    <w:p>
      <w:pPr>
        <w:pStyle w:val="Heading2"/>
      </w:pPr>
      <w:r>
        <w:t xml:space="preserve">1. Executive Summary</w:t>
      </w:r>
    </w:p>
    <w:p>
      <w:pPr>
        <w:pStyle w:val="FirstParagraph"/>
      </w:pPr>
      <w:r>
        <w:t xml:space="preserve">This</w:t>
      </w:r>
    </w:p>
    <w:p>
      <w:pPr>
        <w:pStyle w:val="BodyText"/>
      </w:pPr>
      <w:r>
        <w:t xml:space="preserve">, outlines a comprehensive strategic framework designed to modernize and optimize the educational infrastructure within the cultural and historical capital of Russia, known as</w:t>
      </w:r>
      <w:r>
        <w:t xml:space="preserve"> </w:t>
      </w:r>
      <w:r>
        <w:rPr>
          <w:bCs/>
          <w:b/>
        </w:rPr>
        <w:t xml:space="preserve">Russia Saint Petersburg</w:t>
      </w:r>
      <w:r>
        <w:t xml:space="preserve">. The core objective of this initiative is to establish a robust role for the</w:t>
      </w:r>
    </w:p>
    <w:p>
      <w:pPr>
        <w:pStyle w:val="BodyText"/>
      </w:pPr>
      <w:r>
        <w:rPr>
          <w:bCs/>
          <w:b/>
          <w:u w:val="single"/>
          <w:iCs/>
          <w:i/>
        </w:rPr>
        <w:t xml:space="preserve">Education Administrator</w:t>
      </w:r>
      <w:r>
        <w:t xml:space="preserve">, serving as the linchpin between policy formulation and on-the-ground implementation. By leveraging Saint Petersburg’s unique status as an intellectual hub, this project aims to enhance educational outcomes through digital integration, administrative efficiency, and community engagement. The report details the specific challenges faced by</w:t>
      </w:r>
      <w:r>
        <w:t xml:space="preserve"> </w:t>
      </w:r>
      <w:r>
        <w:rPr>
          <w:bCs/>
          <w:b/>
        </w:rPr>
        <w:t xml:space="preserve">Russia Saint Petersburg</w:t>
      </w:r>
      <w:r>
        <w:t xml:space="preserve">, proposes actionable solutions centered around the</w:t>
      </w:r>
      <w:r>
        <w:t xml:space="preserve"> </w:t>
      </w:r>
      <w:r>
        <w:rPr>
          <w:bCs/>
          <w:b/>
        </w:rPr>
        <w:t xml:space="preserve">Education Administrator</w:t>
      </w:r>
      <w:r>
        <w:t xml:space="preserve"> </w:t>
      </w:r>
      <w:r>
        <w:t xml:space="preserve">role, and provides a roadmap for sustainable growth in the region's academic sector.</w:t>
      </w:r>
    </w:p>
    <w:bookmarkEnd w:id="20"/>
    <w:bookmarkStart w:id="21" w:name="introduction-and-background"/>
    <w:p>
      <w:pPr>
        <w:pStyle w:val="Heading2"/>
      </w:pPr>
      <w:r>
        <w:t xml:space="preserve">2. Introduction and Background</w:t>
      </w:r>
    </w:p>
    <w:p>
      <w:pPr>
        <w:pStyle w:val="FirstParagraph"/>
      </w:pPr>
      <w:r>
        <w:t xml:space="preserve">Saint Petersburg has long been recognized as a center of learning in Russia, hosting prestigious universities such as Saint Petersburg State University and the ITMO University. However, despite this legacy, the municipal school system faces modern pressures including digital transformation requirements, demographic shifts, and increasing demands for personalized learning pathways. In this context, the role of the</w:t>
      </w:r>
      <w:r>
        <w:t xml:space="preserve"> </w:t>
      </w:r>
      <w:r>
        <w:rPr>
          <w:bCs/>
          <w:b/>
        </w:rPr>
        <w:t xml:space="preserve">Education Administrator</w:t>
      </w:r>
      <w:r>
        <w:t xml:space="preserve"> </w:t>
      </w:r>
      <w:r>
        <w:t xml:space="preserve">becomes critical. This is not merely a clerical position but a strategic leadership role responsible for navigating complex regulatory environments in</w:t>
      </w:r>
      <w:r>
        <w:t xml:space="preserve"> </w:t>
      </w:r>
      <w:r>
        <w:rPr>
          <w:bCs/>
          <w:b/>
        </w:rPr>
        <w:t xml:space="preserve">Russia Saint Petersburg</w:t>
      </w:r>
      <w:r>
        <w:t xml:space="preserve">, managing resources efficiently, and fostering an environment where both educators and students can thrive.</w:t>
      </w:r>
    </w:p>
    <w:p>
      <w:pPr>
        <w:pStyle w:val="BodyText"/>
      </w:pPr>
      <w:r>
        <w:t xml:space="preserve">The primary goal of this project is to redefine the scope of the</w:t>
      </w:r>
      <w:r>
        <w:t xml:space="preserve"> </w:t>
      </w:r>
      <w:r>
        <w:rPr>
          <w:bCs/>
          <w:b/>
        </w:rPr>
        <w:t xml:space="preserve">Education Administrator</w:t>
      </w:r>
      <w:r>
        <w:t xml:space="preserve"> </w:t>
      </w:r>
      <w:r>
        <w:t xml:space="preserve">within municipal schools. By empowering these administrators with advanced data analytics tools and leadership training, we aim to create a more responsive educational ecosystem. This report serves as a foundational document for stakeholders in</w:t>
      </w:r>
      <w:r>
        <w:t xml:space="preserve"> </w:t>
      </w:r>
      <w:r>
        <w:rPr>
          <w:bCs/>
          <w:b/>
        </w:rPr>
        <w:t xml:space="preserve">Russia Saint Petersburg</w:t>
      </w:r>
      <w:r>
        <w:t xml:space="preserve"> </w:t>
      </w:r>
      <w:r>
        <w:t xml:space="preserve">who are committed to elevating educational standards.</w:t>
      </w:r>
    </w:p>
    <w:bookmarkEnd w:id="21"/>
    <w:bookmarkStart w:id="24" w:name="current-landscape-analysis"/>
    <w:p>
      <w:pPr>
        <w:pStyle w:val="Heading2"/>
      </w:pPr>
      <w:r>
        <w:t xml:space="preserve">3. Current Landscape Analysis</w:t>
      </w:r>
    </w:p>
    <w:bookmarkStart w:id="22" w:name="challenges-in-russia-saint-petersburg"/>
    <w:p>
      <w:pPr>
        <w:pStyle w:val="Heading3"/>
      </w:pPr>
      <w:r>
        <w:t xml:space="preserve">3.1 Challenges in Russia Saint Petersburg</w:t>
      </w:r>
    </w:p>
    <w:p>
      <w:pPr>
        <w:pStyle w:val="FirstParagraph"/>
      </w:pPr>
      <w:r>
        <w:t xml:space="preserve">The educational landscape in</w:t>
      </w:r>
      <w:r>
        <w:t xml:space="preserve"> </w:t>
      </w:r>
      <w:r>
        <w:rPr>
          <w:bCs/>
          <w:b/>
        </w:rPr>
        <w:t xml:space="preserve">Russia Saint Petersburg</w:t>
      </w:r>
    </w:p>
    <w:p>
      <w:pPr>
        <w:numPr>
          <w:ilvl w:val="0"/>
          <w:numId w:val="1001"/>
        </w:numPr>
        <w:pStyle w:val="Compact"/>
      </w:pPr>
      <w:r>
        <w:rPr>
          <w:bCs/>
          <w:b/>
        </w:rPr>
        <w:t xml:space="preserve">Digital Disparity:</w:t>
      </w:r>
      <w:r>
        <w:t xml:space="preserve"> </w:t>
      </w:r>
      <w:r>
        <w:t xml:space="preserve">While central schools often have access to cutting-edge technology, peripheral districts struggle with outdated infrastructure.</w:t>
      </w:r>
    </w:p>
    <w:p>
      <w:pPr>
        <w:numPr>
          <w:ilvl w:val="0"/>
          <w:numId w:val="1001"/>
        </w:numPr>
        <w:pStyle w:val="Compact"/>
      </w:pPr>
      <w:r>
        <w:rPr>
          <w:bCs/>
          <w:b/>
        </w:rPr>
        <w:t xml:space="preserve">Bureaucratic Inefficiency:</w:t>
      </w:r>
      <w:r>
        <w:t xml:space="preserve"> </w:t>
      </w:r>
      <w:r>
        <w:t xml:space="preserve">Administrative burdens on school staff are high, detracting from time spent on student development.</w:t>
      </w:r>
    </w:p>
    <w:p>
      <w:pPr>
        <w:numPr>
          <w:ilvl w:val="0"/>
          <w:numId w:val="1001"/>
        </w:numPr>
        <w:pStyle w:val="Compact"/>
      </w:pPr>
      <w:r>
        <w:rPr>
          <w:bCs/>
          <w:b/>
        </w:rPr>
        <w:t xml:space="preserve">Talent Retention:</w:t>
      </w:r>
      <w:r>
        <w:t xml:space="preserve"> </w:t>
      </w:r>
      <w:r>
        <w:t xml:space="preserve">Attracting and retaining top-tier teaching talent in a competitive market is increasingly difficult.</w:t>
      </w:r>
    </w:p>
    <w:bookmarkEnd w:id="22"/>
    <w:bookmarkStart w:id="23" w:name="the-gap-in-administration"/>
    <w:p>
      <w:pPr>
        <w:pStyle w:val="Heading3"/>
      </w:pPr>
      <w:r>
        <w:t xml:space="preserve">3.2 The Gap in Administration</w:t>
      </w:r>
    </w:p>
    <w:p>
      <w:pPr>
        <w:pStyle w:val="FirstParagraph"/>
      </w:pPr>
      <w:r>
        <w:t xml:space="preserve">A significant gap exists in the current administrative structure. Traditional administration focuses heavily on compliance and reporting, whereas modern</w:t>
      </w:r>
    </w:p>
    <w:p>
      <w:pPr>
        <w:pStyle w:val="BodyText"/>
      </w:pPr>
      <w:r>
        <w:t xml:space="preserve">s suggest a shift towards strategic management. There is an urgent need for an</w:t>
      </w:r>
    </w:p>
    <w:p>
      <w:pPr>
        <w:pStyle w:val="BodyText"/>
      </w:pPr>
      <w:r>
        <w:t xml:space="preserve">Education Administrator who can bridge the gap between federal mandates from Moscow and local needs in</w:t>
      </w:r>
    </w:p>
    <w:p>
      <w:pPr>
        <w:pStyle w:val="BodyText"/>
      </w:pPr>
      <w:r>
        <w:t xml:space="preserve">Russia Saint Petersburg.</w:t>
      </w:r>
    </w:p>
    <w:bookmarkEnd w:id="23"/>
    <w:bookmarkEnd w:id="24"/>
    <w:bookmarkStart w:id="29" w:name="X970451ff9345f0321b9a78a66971604cdd7b005"/>
    <w:p>
      <w:pPr>
        <w:pStyle w:val="Heading2"/>
      </w:pPr>
      <w:r>
        <w:t xml:space="preserve">4. Strategic Objectives: The Role of the Education Administrator</w:t>
      </w:r>
    </w:p>
    <w:p>
      <w:pPr>
        <w:pStyle w:val="FirstParagraph"/>
      </w:pPr>
      <w:r>
        <w:t xml:space="preserve">To address these challenges, this project proposes a redefined role for the</w:t>
      </w:r>
      <w:r>
        <w:t xml:space="preserve"> </w:t>
      </w:r>
      <w:r>
        <w:rPr>
          <w:bCs/>
          <w:b/>
        </w:rPr>
        <w:t xml:space="preserve">. The</w:t>
      </w:r>
      <w:r>
        <w:rPr>
          <w:bCs/>
          <w:b/>
        </w:rPr>
        <w:t xml:space="preserve"> </w:t>
      </w:r>
      <w:r>
        <w:rPr>
          <w:bCs/>
          <w:b/>
          <w:bCs/>
          <w:b/>
        </w:rPr>
        <w:t xml:space="preserve">Education Administrator in</w:t>
      </w:r>
      <w:r>
        <w:rPr>
          <w:bCs/>
          <w:b/>
          <w:bCs/>
          <w:b/>
        </w:rPr>
        <w:t xml:space="preserve"> </w:t>
      </w:r>
      <w:r>
        <w:rPr>
          <w:bCs/>
          <w:b/>
          <w:bCs/>
          <w:b/>
          <w:bCs/>
          <w:b/>
        </w:rPr>
        <w:t xml:space="preserve">Russia Saint Petersburg</w:t>
      </w:r>
    </w:p>
    <w:bookmarkStart w:id="25" w:name="X832eaea1f627789ecd735ca980c3a5291f22acc"/>
    <w:p>
      <w:pPr>
        <w:pStyle w:val="Heading3"/>
      </w:pPr>
      <w:r>
        <w:t xml:space="preserve">4.1 Operational Efficiency and Resource Allocation</w:t>
      </w:r>
    </w:p>
    <w:p>
      <w:pPr>
        <w:pStyle w:val="FirstParagraph"/>
      </w:pPr>
      <w:r>
        <w:t xml:space="preserve">The</w:t>
      </w:r>
      <w:r>
        <w:t xml:space="preserve"> </w:t>
      </w:r>
      <w:r>
        <w:rPr>
          <w:bCs/>
          <w:b/>
        </w:rPr>
        <w:t xml:space="preserve">, the</w:t>
      </w:r>
      <w:r>
        <w:rPr>
          <w:bCs/>
          <w:b/>
        </w:rPr>
        <w:t xml:space="preserve"> </w:t>
      </w:r>
      <w:r>
        <w:rPr>
          <w:bCs/>
          <w:b/>
          <w:bCs/>
          <w:b/>
        </w:rPr>
        <w:t xml:space="preserve">Education AdministratorRussia Saint Petersburg</w:t>
      </w:r>
    </w:p>
    <w:bookmarkEnd w:id="25"/>
    <w:bookmarkStart w:id="26" w:name="digital-transformation-leadership"/>
    <w:p>
      <w:pPr>
        <w:pStyle w:val="Heading3"/>
      </w:pPr>
      <w:r>
        <w:t xml:space="preserve">4.2 Digital Transformation Leadership</w:t>
      </w:r>
    </w:p>
    <w:p>
      <w:pPr>
        <w:pStyle w:val="FirstParagraph"/>
      </w:pPr>
      <w:r>
        <w:t xml:space="preserve">In alignment with national digital education strategies, the</w:t>
      </w:r>
    </w:p>
    <w:p>
      <w:pPr>
        <w:pStyle w:val="BodyText"/>
      </w:pPr>
      <w:r>
        <w:t xml:space="preserve">, the</w:t>
      </w:r>
    </w:p>
    <w:p>
      <w:pPr>
        <w:pStyle w:val="BodyText"/>
      </w:pPr>
      <w:r>
        <w:t xml:space="preserve">Education Administrator Russia Saint Petersburg.</w:t>
      </w:r>
    </w:p>
    <w:bookmarkEnd w:id="26"/>
    <w:bookmarkStart w:id="27" w:name="X8cb694a241dc0be8b2263de9958c285e7c0b76a"/>
    <w:p>
      <w:pPr>
        <w:pStyle w:val="Heading3"/>
      </w:pPr>
      <w:r>
        <w:t xml:space="preserve">4.3 Stakeholder Engagement and Community Building</w:t>
      </w:r>
    </w:p>
    <w:p>
      <w:pPr>
        <w:pStyle w:val="FirstParagraph"/>
      </w:pPr>
      <w:r>
        <w:t xml:space="preserve">The</w:t>
      </w:r>
    </w:p>
    <w:p>
      <w:pPr>
        <w:pStyle w:val="BodyText"/>
      </w:pPr>
      <w:r>
        <w:t xml:space="preserve">, the</w:t>
      </w:r>
    </w:p>
    <w:p>
      <w:pPr>
        <w:pStyle w:val="BodyText"/>
      </w:pPr>
      <w:r>
        <w:t xml:space="preserve">Education Administrator Russia Saint Petersburg, and private sector partners. By fostering strong community ties, administrators can secure additional resources through partnerships and ensure that school policies reflect community values.</w:t>
      </w:r>
    </w:p>
    <w:bookmarkEnd w:id="27"/>
    <w:bookmarkStart w:id="28" w:name="Xfd57286c9ac2b7a74982bfd555e4c92700aea98"/>
    <w:p>
      <w:pPr>
        <w:pStyle w:val="Heading3"/>
      </w:pPr>
      <w:r>
        <w:t xml:space="preserve">4.4 Regulatory Compliance and Policy Implementation</w:t>
      </w:r>
    </w:p>
    <w:p>
      <w:pPr>
        <w:pStyle w:val="FirstParagraph"/>
      </w:pPr>
      <w:r>
        <w:t xml:space="preserve">Navigating the complex regulatory framework of Russian education requires specialized knowledge. The</w:t>
      </w:r>
    </w:p>
    <w:p>
      <w:pPr>
        <w:pStyle w:val="BodyText"/>
      </w:pPr>
      <w:r>
        <w:t xml:space="preserve">, the</w:t>
      </w:r>
    </w:p>
    <w:p>
      <w:pPr>
        <w:pStyle w:val="BodyText"/>
      </w:pPr>
      <w:r>
        <w:t xml:space="preserve">Education Administrator Russia Saint Petersburg. This dual focus ensures that schools remain legally sound while remaining flexible enough to innovate.</w:t>
      </w:r>
    </w:p>
    <w:bookmarkEnd w:id="28"/>
    <w:bookmarkEnd w:id="29"/>
    <w:bookmarkStart w:id="33" w:name="X18119c90a33f91042af7c4eff29c4da2549a26e"/>
    <w:p>
      <w:pPr>
        <w:pStyle w:val="Heading2"/>
      </w:pPr>
      <w:r>
        <w:t xml:space="preserve">5. Implementation Plan for Russia Saint Petersburg</w:t>
      </w:r>
    </w:p>
    <w:p>
      <w:pPr>
        <w:pStyle w:val="FirstParagraph"/>
      </w:pPr>
      <w:r>
        <w:t xml:space="preserve">The successful execution of this project in</w:t>
      </w:r>
    </w:p>
    <w:p>
      <w:pPr>
        <w:pStyle w:val="BodyText"/>
      </w:pPr>
      <w:r>
        <w:t xml:space="preserve">Russia Saint Petersburg requires a phased approach, focusing on the deployment and training of the</w:t>
      </w:r>
    </w:p>
    <w:p>
      <w:pPr>
        <w:pStyle w:val="BodyText"/>
      </w:pPr>
      <w:r>
        <w:t xml:space="preserve">.</w:t>
      </w:r>
    </w:p>
    <w:bookmarkStart w:id="30" w:name="Xee8b6506de2d312869fa00fc600989e9f079f1b"/>
    <w:p>
      <w:pPr>
        <w:pStyle w:val="Heading3"/>
      </w:pPr>
      <w:r>
        <w:t xml:space="preserve">Phase 1: Assessment and Pilot Programs (Months 1-6)</w:t>
      </w:r>
    </w:p>
    <w:p>
      <w:pPr>
        <w:pStyle w:val="FirstParagraph"/>
      </w:pPr>
      <w:r>
        <w:t xml:space="preserve">In this initial phase, we will conduct a comprehensive audit of existing administrative processes in selected schools within</w:t>
      </w:r>
    </w:p>
    <w:p>
      <w:pPr>
        <w:pStyle w:val="BodyText"/>
      </w:pPr>
      <w:r>
        <w:t xml:space="preserve">Russia Saint Petersburg. Based on these findings, we will identify key areas for improvement. We will then launch pilot programs where the new role of the</w:t>
      </w:r>
    </w:p>
    <w:p>
      <w:pPr>
        <w:pStyle w:val="BodyText"/>
      </w:pPr>
      <w:r>
        <w:t xml:space="preserve">, focused on strategic administration, is tested. These pilots will serve as a proof of concept for wider rollout.</w:t>
      </w:r>
    </w:p>
    <w:bookmarkEnd w:id="30"/>
    <w:bookmarkStart w:id="31" w:name="X200f5709d2258b9bf52a1e5273b4f60dae78746"/>
    <w:p>
      <w:pPr>
        <w:pStyle w:val="Heading3"/>
      </w:pPr>
      <w:r>
        <w:t xml:space="preserve">Phase 2: Training and Development (Months 7-12)</w:t>
      </w:r>
    </w:p>
    <w:p>
      <w:pPr>
        <w:pStyle w:val="FirstParagraph"/>
      </w:pPr>
      <w:r>
        <w:t xml:space="preserve">A robust training curriculum will be developed specifically for the</w:t>
      </w:r>
    </w:p>
    <w:p>
      <w:pPr>
        <w:pStyle w:val="BodyText"/>
      </w:pPr>
      <w:r>
        <w:t xml:space="preserve">. This includes modules on digital literacy, conflict resolution, budget management, and local regulatory compliance in</w:t>
      </w:r>
    </w:p>
    <w:p>
      <w:pPr>
        <w:pStyle w:val="BodyText"/>
      </w:pPr>
      <w:r>
        <w:t xml:space="preserve">Russia Saint Petersburg. Partnerships with leading Russian universities will be established to provide certification for administrators.</w:t>
      </w:r>
    </w:p>
    <w:bookmarkEnd w:id="31"/>
    <w:bookmarkStart w:id="32" w:name="phase-3-full-scale-rollout-months-13-24"/>
    <w:p>
      <w:pPr>
        <w:pStyle w:val="Heading3"/>
      </w:pPr>
      <w:r>
        <w:t xml:space="preserve">Phase 3: Full-Scale Rollout (Months 13-24)</w:t>
      </w:r>
    </w:p>
    <w:p>
      <w:pPr>
        <w:pStyle w:val="FirstParagraph"/>
      </w:pPr>
      <w:r>
        <w:t xml:space="preserve">The final phase involves deploying the</w:t>
      </w:r>
    </w:p>
    <w:p>
      <w:pPr>
        <w:pStyle w:val="BodyText"/>
      </w:pPr>
      <w:r>
        <w:t xml:space="preserve">, across all municipal schools in</w:t>
      </w:r>
    </w:p>
    <w:p>
      <w:pPr>
        <w:pStyle w:val="BodyText"/>
      </w:pPr>
      <w:r>
        <w:t xml:space="preserve">Russia Saint Petersburg. This will be supported by a centralized support hub that provides ongoing assistance and monitoring. Regular feedback loops will be established to ensure continuous improvement.</w:t>
      </w:r>
    </w:p>
    <w:bookmarkEnd w:id="32"/>
    <w:bookmarkEnd w:id="33"/>
    <w:bookmarkStart w:id="34" w:name="Xa4a302fb341789463ed8295084b3bd5a43560c7"/>
    <w:p>
      <w:pPr>
        <w:pStyle w:val="Heading2"/>
      </w:pPr>
      <w:r>
        <w:t xml:space="preserve">6. Expected Outcomes and Impact on Russia Saint Petersburg</w:t>
      </w:r>
    </w:p>
    <w:p>
      <w:pPr>
        <w:pStyle w:val="FirstParagraph"/>
      </w:pPr>
      <w:r>
        <w:t xml:space="preserve">The successful implementation of this project is expected to yield significant benefits for</w:t>
      </w:r>
    </w:p>
    <w:p>
      <w:pPr>
        <w:pStyle w:val="BodyText"/>
      </w:pPr>
      <w:r>
        <w:t xml:space="preserve">Russia Saint Petersburg. We anticipate a measurable increase in administrative efficiency, allowing schools to redirect more resources toward teaching and learning. The empowerment of the</w:t>
      </w:r>
    </w:p>
    <w:p>
      <w:pPr>
        <w:pStyle w:val="BodyText"/>
      </w:pPr>
      <w:r>
        <w:t xml:space="preserve"> </w:t>
      </w:r>
      <w:r>
        <w:t xml:space="preserve">will lead to improved school climates, higher teacher satisfaction rates, and ultimately, better student outcomes.</w:t>
      </w:r>
    </w:p>
    <w:p>
      <w:pPr>
        <w:pStyle w:val="BodyText"/>
      </w:pPr>
      <w:r>
        <w:t xml:space="preserve">Russia Saint Petersburg as a leader in educational administration innovation, the city can attract further investment and talent. The model developed here can serve as a blueprint for other regions within Russia.</w:t>
      </w:r>
    </w:p>
    <w:bookmarkEnd w:id="34"/>
    <w:bookmarkStart w:id="35" w:name="conclusion"/>
    <w:p>
      <w:pPr>
        <w:pStyle w:val="Heading2"/>
      </w:pPr>
      <w:r>
        <w:t xml:space="preserve">7. Conclusion</w:t>
      </w:r>
    </w:p>
    <w:p>
      <w:pPr>
        <w:pStyle w:val="FirstParagraph"/>
      </w:pPr>
      <w:r>
        <w:t xml:space="preserve">This</w:t>
      </w:r>
    </w:p>
    <w:p>
      <w:pPr>
        <w:pStyle w:val="BodyText"/>
      </w:pPr>
      <w:r>
        <w:t xml:space="preserve">, underscores the critical importance of strengthening the administrative backbone of education in</w:t>
      </w:r>
    </w:p>
    <w:p>
      <w:pPr>
        <w:pStyle w:val="BodyText"/>
      </w:pPr>
      <w:r>
        <w:t xml:space="preserve">Russia Saint Petersburg. By elevating the role of the</w:t>
      </w:r>
      <w:r>
        <w:t xml:space="preserve"> </w:t>
      </w:r>
      <w:r>
        <w:rPr>
          <w:bCs/>
          <w:b/>
        </w:rPr>
        <w:t xml:space="preserve">Education Administrator</w:t>
      </w:r>
      <w:r>
        <w:t xml:space="preserve">, we can create a more resilient, efficient, and innovative educational system. The unique cultural and academic heritage of</w:t>
      </w:r>
    </w:p>
    <w:p>
      <w:pPr>
        <w:pStyle w:val="BodyText"/>
      </w:pPr>
      <w:r>
        <w:t xml:space="preserve">Russia Saint Petersburg provides an ideal environment for such initiatives. With committed leadership and strategic investment, this project will secure a bright future for the students of</w:t>
      </w:r>
    </w:p>
    <w:p>
      <w:pPr>
        <w:pStyle w:val="BodyText"/>
      </w:pPr>
      <w:r>
        <w:t xml:space="preserve">Russia Saint Petersburg, ensuring that they are well-prepared for the challenges of the 21st century.</w:t>
      </w:r>
    </w:p>
    <w:p>
      <w:pPr>
        <w:pStyle w:val="BodyText"/>
      </w:pPr>
      <w:r>
        <w:t xml:space="preserve">We recommend immediate approval to proceed with Phase 1, commencing assessments in key districts of</w:t>
      </w:r>
    </w:p>
    <w:p>
      <w:pPr>
        <w:pStyle w:val="BodyText"/>
      </w:pPr>
      <w:r>
        <w:t xml:space="preserve">Russia Saint Petersburg.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an Education Administrator Framework in Russia Saint Petersburg</dc:title>
  <dc:creator/>
  <dc:language>en</dc:language>
  <cp:keywords/>
  <dcterms:created xsi:type="dcterms:W3CDTF">2026-07-29T15:38:30Z</dcterms:created>
  <dcterms:modified xsi:type="dcterms:W3CDTF">2026-07-29T15:38:30Z</dcterms:modified>
</cp:coreProperties>
</file>

<file path=docProps/custom.xml><?xml version="1.0" encoding="utf-8"?>
<Properties xmlns="http://schemas.openxmlformats.org/officeDocument/2006/custom-properties" xmlns:vt="http://schemas.openxmlformats.org/officeDocument/2006/docPropsVTypes"/>
</file>