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Solutions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1" w:name="X5248ec170914acf7b58944ff56d02206f56a980"/>
    <w:p>
      <w:pPr>
        <w:pStyle w:val="Heading1"/>
      </w:pPr>
      <w:r>
        <w:t xml:space="preserve">Project Report: Strategic Environmental Engineering Framework for Ghana Accra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Local Government and Rural Development, Republic of Ghana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Environmental Engineering Consultancy Team</w:t>
      </w:r>
      <w:r>
        <w:br/>
      </w:r>
    </w:p>
    <w:bookmarkStart w:id="20" w:name="table-of-contents"/>
    <w:p>
      <w:pPr>
        <w:pStyle w:val="Heading2"/>
      </w:pPr>
      <w:r>
        <w:t xml:space="preserve">Table of Contents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Environmental Engineering Solutions in Ghana Accra</dc:title>
  <dc:creator/>
  <dc:language>en</dc:language>
  <cp:keywords/>
  <dcterms:created xsi:type="dcterms:W3CDTF">2026-09-26T05:43:48Z</dcterms:created>
  <dcterms:modified xsi:type="dcterms:W3CDTF">2026-09-26T05:43:48Z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