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Environmental</w:t>
      </w:r>
      <w:r>
        <w:t xml:space="preserve"> </w:t>
      </w:r>
      <w:r>
        <w:t xml:space="preserve">Engineering</w:t>
      </w:r>
      <w:r>
        <w:t xml:space="preserve"> </w:t>
      </w:r>
      <w:r>
        <w:t xml:space="preserve">Solutions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1" w:name="X5248ec170914acf7b58944ff56d02206f56a980"/>
    <w:p>
      <w:pPr>
        <w:pStyle w:val="Heading1"/>
      </w:pPr>
      <w:r>
        <w:t xml:space="preserve">Project Report: Strategic Environmental Engineering Framework for Ghana Accra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Local Government and Rural Development, Republic of Ghana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Environmental Engineering Consultancy Team</w:t>
      </w:r>
      <w:r>
        <w:br/>
      </w:r>
    </w:p>
    <w:bookmarkStart w:id="20" w:name="table-of-contents"/>
    <w:p>
      <w:pPr>
        <w:pStyle w:val="Heading2"/>
      </w:pPr>
      <w:r>
        <w:t xml:space="preserve">Table of Contents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Environmental Engineering Solutions in Ghana Accra</dc:title>
  <dc:creator/>
  <dc:language>en</dc:language>
  <cp:keywords/>
  <dcterms:created xsi:type="dcterms:W3CDTF">2026-07-29T09:13:31Z</dcterms:created>
  <dcterms:modified xsi:type="dcterms:W3CDTF">2026-07-29T09:13:31Z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