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Germany</w:t>
      </w:r>
      <w:r>
        <w:t xml:space="preserve"> </w:t>
      </w:r>
      <w:r>
        <w:t xml:space="preserve">Frankfurt</w:t>
      </w:r>
    </w:p>
    <w:bookmarkStart w:id="31" w:name="Xb488e9c371aabb78faa447da98cc7cbf39ae781"/>
    <w:p>
      <w:pPr>
        <w:pStyle w:val="Heading1"/>
      </w:pPr>
      <w:r>
        <w:t xml:space="preserve">Comprehensive Project Report: The Role of the Financial Analyst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Human Resources and Strategic Planning Department</w:t>
      </w:r>
      <w:r>
        <w:br/>
      </w:r>
    </w:p>
    <w:p>
      <w:pPr>
        <w:pStyle w:val="SourceCode"/>
      </w:pPr>
      <w:r>
        <w:rPr>
          <w:rStyle w:val="VerbatimChar"/>
        </w:rPr>
        <w:t xml:space="preserve"> Subject: Strategic Analysis and Operational Framework for the Financial Analyst Position in Germany Frankfurt</w:t>
      </w:r>
    </w:p>
    <w:bookmarkStart w:id="20" w:name="introduction-and-contextual-background"/>
    <w:p>
      <w:pPr>
        <w:pStyle w:val="Heading2"/>
      </w:pPr>
      <w:r>
        <w:t xml:space="preserve">1. Introduction and Contextual Background</w:t>
      </w:r>
    </w:p>
    <w:p>
      <w:pPr>
        <w:pStyle w:val="FirstParagraph"/>
      </w:pPr>
      <w:r>
        <w:t xml:space="preserve">The global financial landscape is undergoing a significant transformation, driven by digitalization, regulatory changes, and shifting geopolitical dynamics. Within this complex environment,</w:t>
      </w:r>
      <w:r>
        <w:t xml:space="preserve"> </w:t>
      </w:r>
      <w:r>
        <w:rPr>
          <w:bCs/>
          <w:b/>
        </w:rPr>
        <w:t xml:space="preserve">Germany Frankfurt</w:t>
      </w:r>
    </w:p>
    <w:p>
      <w:pPr>
        <w:pStyle w:val="BodyText"/>
      </w:pPr>
      <w:r>
        <w:t xml:space="preserve">This</w:t>
      </w:r>
      <w:r>
        <w:t xml:space="preserve"> </w:t>
      </w:r>
      <w:r>
        <w:rPr>
          <w:bCs/>
          <w:b/>
        </w:rPr>
        <w:t xml:space="preserve">Project Report</w:t>
      </w:r>
      <w:r>
        <w:t xml:space="preserve"> </w:t>
      </w:r>
      <w:r>
        <w:t xml:space="preserve">serves to outline the strategic importance, operational requirements, and market expectations for the role of a</w:t>
      </w:r>
      <w:r>
        <w:t xml:space="preserve"> </w:t>
      </w:r>
      <w:r>
        <w:rPr>
          <w:bCs/>
          <w:b/>
        </w:rPr>
        <w:t xml:space="preserve">Financial Analyst</w:t>
      </w:r>
    </w:p>
    <w:bookmarkEnd w:id="20"/>
    <w:bookmarkStart w:id="21" w:name="X4f9a14c5d2faa9987ca914c9b22053ae5d56d86"/>
    <w:p>
      <w:pPr>
        <w:pStyle w:val="Heading2"/>
      </w:pPr>
      <w:r>
        <w:t xml:space="preserve">2. The Strategic Importance of Frankfurt as a Financial Hub</w:t>
      </w:r>
    </w:p>
    <w:p>
      <w:pPr>
        <w:pStyle w:val="FirstParagraph"/>
      </w:pPr>
      <w:r>
        <w:t xml:space="preserve">To understand the role of the</w:t>
      </w:r>
      <w:r>
        <w:t xml:space="preserve"> </w:t>
      </w:r>
      <w:r>
        <w:rPr>
          <w:bCs/>
          <w:b/>
        </w:rPr>
        <w:t xml:space="preserve">Financial Analyst</w:t>
      </w:r>
      <w:r>
        <w:t xml:space="preserve">, one must first appreciate the unique characteristics of</w:t>
      </w:r>
    </w:p>
    <w:p>
      <w:pPr>
        <w:pStyle w:val="BodyText"/>
      </w:pPr>
      <w:r>
        <w:t xml:space="preserve">Germany Frankfurt. Unlike London or New York, which are often associated with aggressive trading environments, Frankfurt is characterized by its stability, regulatory rigor, and focus on risk management. It serves as the gateway to European monetary policy.</w:t>
      </w:r>
    </w:p>
    <w:p>
      <w:pPr>
        <w:pStyle w:val="BodyText"/>
      </w:pPr>
      <w:r>
        <w:t xml:space="preserve">The presence of the ECB means that macroeconomic trends affecting Germany and the broader Eurozone are closely monitored in real-time within this city. Consequently, a</w:t>
      </w:r>
      <w:r>
        <w:t xml:space="preserve"> </w:t>
      </w:r>
      <w:r>
        <w:rPr>
          <w:bCs/>
          <w:b/>
        </w:rPr>
        <w:t xml:space="preserve">Financial Analyst</w:t>
      </w:r>
    </w:p>
    <w:bookmarkEnd w:id="21"/>
    <w:bookmarkStart w:id="25" w:name="X74b483bc87e1cb50d171f1df427ae3603a89a59"/>
    <w:p>
      <w:pPr>
        <w:pStyle w:val="Heading2"/>
      </w:pPr>
      <w:r>
        <w:t xml:space="preserve">3. Core Responsibilities of the Financial Analyst</w:t>
      </w:r>
    </w:p>
    <w:p>
      <w:pPr>
        <w:pStyle w:val="FirstParagraph"/>
      </w:pPr>
      <w:r>
        <w:t xml:space="preserve">In the context of a</w:t>
      </w:r>
      <w:r>
        <w:t xml:space="preserve"> </w:t>
      </w:r>
      <w:r>
        <w:rPr>
          <w:bCs/>
          <w:b/>
        </w:rPr>
        <w:t xml:space="preserve">Project Report</w:t>
      </w:r>
      <w:r>
        <w:t xml:space="preserve">Financial Analyst</w:t>
      </w:r>
    </w:p>
    <w:bookmarkStart w:id="22" w:name="X85aa6390061f1dc4eb293ab697e75a20b19bc06"/>
    <w:p>
      <w:pPr>
        <w:pStyle w:val="Heading3"/>
      </w:pPr>
      <w:r>
        <w:t xml:space="preserve">3.1 Advanced Financial Modeling and Forecasting</w:t>
      </w:r>
    </w:p>
    <w:p>
      <w:pPr>
        <w:pStyle w:val="FirstParagraph"/>
      </w:pPr>
      <w:r>
        <w:t xml:space="preserve">The analyst must construct robust financial models that account for volatility in European markets. This involves forecasting revenue streams, managing cash flow projections, and assessing investment opportunities across different asset classes. Given the diverse portfolio of institutions in</w:t>
      </w:r>
      <w:r>
        <w:t xml:space="preserve"> </w:t>
      </w:r>
      <w:r>
        <w:rPr>
          <w:bCs/>
          <w:b/>
        </w:rPr>
        <w:t xml:space="preserve">Germany Frankfurt</w:t>
      </w:r>
      <w:r>
        <w:t xml:space="preserve">, the ability to model cross-border transactions and currency fluctuations (EUR/USD) is essential.</w:t>
      </w:r>
    </w:p>
    <w:bookmarkEnd w:id="22"/>
    <w:bookmarkStart w:id="23" w:name="Xf828eaa6d3733e4f39ce798f0a9f57d6a2d5d03"/>
    <w:p>
      <w:pPr>
        <w:pStyle w:val="Heading3"/>
      </w:pPr>
      <w:r>
        <w:t xml:space="preserve">2 Financial Reporting and Regulatory Compliance</w:t>
      </w:r>
    </w:p>
    <w:p>
      <w:pPr>
        <w:pStyle w:val="FirstParagraph"/>
      </w:pPr>
      <w:r>
        <w:t xml:space="preserve">A significant portion of the role involves ensuring that financial reports adhere to strict German Accounting Standards (HGB) as well as International Financial Reporting Standards (IFRS). The analyst must prepare detailed variance analyses, explaining deviations from budgets with precision. In</w:t>
      </w:r>
      <w:r>
        <w:t xml:space="preserve"> </w:t>
      </w:r>
      <w:r>
        <w:rPr>
          <w:bCs/>
          <w:b/>
        </w:rPr>
        <w:t xml:space="preserve">Germany Frankfurt</w:t>
      </w:r>
      <w:r>
        <w:t xml:space="preserve">, where regulatory scrutiny is high, the accuracy and transparency of these reports are non-negotiable.</w:t>
      </w:r>
    </w:p>
    <w:bookmarkEnd w:id="23"/>
    <w:bookmarkStart w:id="24" w:name="risk-management-and-asset-allocation"/>
    <w:p>
      <w:pPr>
        <w:pStyle w:val="Heading3"/>
      </w:pPr>
      <w:r>
        <w:t xml:space="preserve">3.3 Risk Management and Asset Allocation</w:t>
      </w:r>
    </w:p>
    <w:p>
      <w:pPr>
        <w:pStyle w:val="FirstParagraph"/>
      </w:pPr>
      <w:r>
        <w:t xml:space="preserve">The</w:t>
      </w:r>
      <w:r>
        <w:t xml:space="preserve"> </w:t>
      </w:r>
      <w:r>
        <w:rPr>
          <w:bCs/>
          <w:b/>
        </w:rPr>
        <w:t xml:space="preserve">Financial AnalystGermany Frankfurt</w:t>
      </w:r>
      <w:r>
        <w:t xml:space="preserve">, where the concentration of large banking institutions requires sophisticated stress-testing methodologies.</w:t>
      </w:r>
    </w:p>
    <w:bookmarkEnd w:id="24"/>
    <w:bookmarkEnd w:id="25"/>
    <w:bookmarkStart w:id="26" w:name="required-skill-sets-and-competencies"/>
    <w:p>
      <w:pPr>
        <w:pStyle w:val="Heading2"/>
      </w:pPr>
      <w:r>
        <w:t xml:space="preserve">4. Required Skill Sets and Competencies</w:t>
      </w:r>
    </w:p>
    <w:p>
      <w:pPr>
        <w:pStyle w:val="FirstParagraph"/>
      </w:pPr>
      <w:r>
        <w:t xml:space="preserve">To succeed in this role, candidates must demonstrate a blend of technical expertise and soft skills tailored to the local business culture.</w:t>
      </w:r>
    </w:p>
    <w:p>
      <w:pPr>
        <w:numPr>
          <w:ilvl w:val="0"/>
          <w:numId w:val="1001"/>
        </w:numPr>
        <w:pStyle w:val="Compact"/>
      </w:pPr>
      <w:r>
        <w:rPr>
          <w:bCs/>
          <w:b/>
        </w:rPr>
        <w:t xml:space="preserve">Data Proficiency:</w:t>
      </w:r>
      <w:r>
        <w:t xml:space="preserve"> Advanced knowledge of Excel is mandatory, along with experience in SQL, Python, or R for data mining. Familiarity with BI tools like Tableau or PowerBI is increasingly preferred.</w:t>
      </w:r>
    </w:p>
    <w:p>
      <w:pPr>
        <w:numPr>
          <w:ilvl w:val="0"/>
          <w:numId w:val="1001"/>
        </w:numPr>
        <w:pStyle w:val="Compact"/>
      </w:pPr>
      <w:r>
        <w:rPr>
          <w:bCs/>
          <w:b/>
        </w:rPr>
        <w:t xml:space="preserve">Linguistic Capabilities:</w:t>
      </w:r>
      <w:r>
        <w:t xml:space="preserve"> While English is the lingua franca of international finance, proficiency in German (Business Level B2/C1) is often a distinct advantage in</w:t>
      </w:r>
      <w:r>
        <w:t xml:space="preserve"> </w:t>
      </w:r>
      <w:r>
        <w:rPr>
          <w:bCs/>
          <w:b/>
        </w:rPr>
        <w:t xml:space="preserve">Germany Frankfurt</w:t>
      </w:r>
      <w:r>
        <w:t xml:space="preserve">, particularly for client-facing roles or when interfacing with local regulatory bodies.</w:t>
      </w:r>
    </w:p>
    <w:p>
      <w:pPr>
        <w:numPr>
          <w:ilvl w:val="0"/>
          <w:numId w:val="1001"/>
        </w:numPr>
        <w:pStyle w:val="Compact"/>
      </w:pPr>
      <w:r>
        <w:rPr>
          <w:bCs/>
          <w:b/>
        </w:rPr>
        <w:t xml:space="preserve">Regulatory Knowledge:</w:t>
      </w:r>
      <w:r>
        <w:t xml:space="preserve"> A thorough understanding of EU financial laws and German banking regulations.</w:t>
      </w:r>
    </w:p>
    <w:p>
      <w:pPr>
        <w:numPr>
          <w:ilvl w:val="0"/>
          <w:numId w:val="1001"/>
        </w:numPr>
        <w:pStyle w:val="Compact"/>
      </w:pPr>
      <w:r>
        <w:t xml:space="preserve">Analytical Thinking: The ability to distill complex data sets into clear, concise strategic recommendations for stakeholders.</w:t>
      </w:r>
    </w:p>
    <w:bookmarkEnd w:id="26"/>
    <w:bookmarkStart w:id="27" w:name="market-outlook-and-career-trajectory"/>
    <w:p>
      <w:pPr>
        <w:pStyle w:val="Heading2"/>
      </w:pPr>
      <w:r>
        <w:t xml:space="preserve">5. Market Outlook and Career Trajectory</w:t>
      </w:r>
    </w:p>
    <w:p>
      <w:pPr>
        <w:pStyle w:val="FirstParagraph"/>
      </w:pPr>
      <w:r>
        <w:t xml:space="preserve">The demand for skilled</w:t>
      </w:r>
      <w:r>
        <w:t xml:space="preserve"> </w:t>
      </w:r>
    </w:p>
    <w:p>
      <w:pPr>
        <w:pStyle w:val="BodyText"/>
      </w:pPr>
      <w:r>
        <w:t xml:space="preserve">Career progression typically moves from Junior Analyst to Senior Financial Analyst, eventually leading to roles such as Finance Manager, Controller, or Chief Financial Officer (CFO). The competitive nature of the</w:t>
      </w:r>
      <w:r>
        <w:t xml:space="preserve"> </w:t>
      </w:r>
      <w:r>
        <w:rPr>
          <w:bCs/>
          <w:b/>
        </w:rPr>
        <w:t xml:space="preserve">Germany Frankfurt</w:t>
      </w:r>
    </w:p>
    <w:bookmarkEnd w:id="27"/>
    <w:bookmarkStart w:id="28" w:name="challenges-and-mitigation-strategies"/>
    <w:p>
      <w:pPr>
        <w:pStyle w:val="Heading2"/>
      </w:pPr>
      <w:r>
        <w:t xml:space="preserve">6. Challenges and Mitigation Strategies</w:t>
      </w:r>
    </w:p>
    <w:p>
      <w:pPr>
        <w:pStyle w:val="FirstParagraph"/>
      </w:pPr>
      <w:r>
        <w:rPr>
          <w:bCs/>
          <w:b/>
        </w:rPr>
        <w:t xml:space="preserve">Data Security: With strict GDPR laws, handling sensitive financial data requires rigorous security protocols. The</w:t>
      </w:r>
      <w:r>
        <w:rPr>
          <w:bCs/>
          <w:b/>
        </w:rPr>
        <w:t xml:space="preserve"> </w:t>
      </w:r>
    </w:p>
    <w:p>
      <w:pPr>
        <w:pStyle w:val="BodyText"/>
      </w:pPr>
      <w:r>
        <w:t xml:space="preserve">Cultural Integration: International analysts may face challenges integrating into the structured and formal business culture of Germany. Proactive efforts to understand local business etiquette are recommended.</w:t>
      </w:r>
    </w:p>
    <w:bookmarkEnd w:id="28"/>
    <w:bookmarkStart w:id="29" w:name="conclusion"/>
    <w:p>
      <w:pPr>
        <w:pStyle w:val="Heading2"/>
      </w:pPr>
      <w:r>
        <w:t xml:space="preserve">7. Conclusion</w:t>
      </w:r>
    </w:p>
    <w:p>
      <w:pPr>
        <w:pStyle w:val="FirstParagraph"/>
      </w:pPr>
      <w:r>
        <w:t xml:space="preserve">In summary, this</w:t>
      </w:r>
      <w:r>
        <w:t xml:space="preserve"> </w:t>
      </w:r>
    </w:p>
    <w:p>
      <w:pPr>
        <w:pStyle w:val="BodyText"/>
      </w:pPr>
      <w:r>
        <w:t xml:space="preserve">The unique position of</w:t>
      </w:r>
      <w:r>
        <w:t xml:space="preserve"> </w:t>
      </w:r>
      <w:r>
        <w:rPr>
          <w:bCs/>
          <w:b/>
        </w:rPr>
        <w:t xml:space="preserve">Germany Frankfurt</w:t>
      </w:r>
    </w:p>
    <w:bookmarkEnd w:id="29"/>
    <w:bookmarkStart w:id="30" w:name="recommendations"/>
    <w:p>
      <w:pPr>
        <w:pStyle w:val="Heading2"/>
      </w:pPr>
      <w:r>
        <w:t xml:space="preserve">8. Recommendations</w:t>
      </w:r>
    </w:p>
    <w:p>
      <w:pPr>
        <w:numPr>
          <w:ilvl w:val="0"/>
          <w:numId w:val="1002"/>
        </w:numPr>
        <w:pStyle w:val="Compact"/>
      </w:pPr>
      <w:r>
        <w:t xml:space="preserve">Hire Locally or Hybrid: Prioritize candidates with local market experience or those willing to relocate to</w:t>
      </w:r>
    </w:p>
    <w:p>
      <w:pPr>
        <w:numPr>
          <w:ilvl w:val="0"/>
          <w:numId w:val="1000"/>
        </w:numPr>
        <w:pStyle w:val="Compact"/>
      </w:pPr>
      <w:r>
        <w:t xml:space="preserve">.</w:t>
      </w:r>
    </w:p>
    <w:p>
      <w:pPr>
        <w:numPr>
          <w:ilvl w:val="0"/>
          <w:numId w:val="1002"/>
        </w:numPr>
        <w:pStyle w:val="Compact"/>
      </w:pPr>
      <w:r>
        <w:t xml:space="preserve">Invest in Training: Provide continuous education on evolving EU regulations and advanced analytical tools.</w:t>
      </w:r>
    </w:p>
    <w:p>
      <w:pPr>
        <w:numPr>
          <w:ilvl w:val="0"/>
          <w:numId w:val="1002"/>
        </w:numPr>
        <w:pStyle w:val="Compact"/>
      </w:pPr>
      <w:r>
        <w:t xml:space="preserve">Foster Cross-Functional Collaboration: Ensure that the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Germany Frankfurt</dc:title>
  <dc:creator/>
  <dc:language>en</dc:language>
  <cp:keywords/>
  <dcterms:created xsi:type="dcterms:W3CDTF">2026-07-29T12:25:01Z</dcterms:created>
  <dcterms:modified xsi:type="dcterms:W3CDTF">2026-07-29T12:25:01Z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