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Analysis</w:t>
      </w:r>
      <w:r>
        <w:t xml:space="preserve"> </w:t>
      </w:r>
      <w:r>
        <w:t xml:space="preserve">Framework</w:t>
      </w:r>
      <w:r>
        <w:t xml:space="preserve"> </w:t>
      </w:r>
      <w:r>
        <w:t xml:space="preserve">for</w:t>
      </w:r>
      <w:r>
        <w:t xml:space="preserve"> </w:t>
      </w:r>
      <w:r>
        <w:t xml:space="preserve">Saudi</w:t>
      </w:r>
      <w:r>
        <w:t xml:space="preserve"> </w:t>
      </w:r>
      <w:r>
        <w:t xml:space="preserve">Arabia</w:t>
      </w:r>
      <w:r>
        <w:t xml:space="preserve"> </w:t>
      </w:r>
      <w:r>
        <w:t xml:space="preserve">Riyadh</w:t>
      </w:r>
    </w:p>
    <w:bookmarkStart w:id="25" w:name="X42186cd311da7c286a9fbcbf830c7f6e790d13e"/>
    <w:p>
      <w:pPr>
        <w:pStyle w:val="Heading1"/>
      </w:pPr>
      <w:r>
        <w:t xml:space="preserve">Project Report: Strategic Financial Analysis Framework for Operations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Department of Corporate Strategy and Finance</w:t>
      </w:r>
      <w:r>
        <w:br/>
      </w:r>
      <w:r>
        <w:rPr>
          <w:bCs/>
          <w:b/>
        </w:rPr>
        <w:t xml:space="preserve">Subject:</w:t>
      </w:r>
      <w:r>
        <w:t xml:space="preserve"> </w:t>
      </w:r>
      <w:r>
        <w:t xml:space="preserve">Implementation of Comprehensive Financial Analyst Protocols for the Saudi Arabia Riyadh Market Expansion</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high-level Financial Analyst capabilities within our expanding operations in</w:t>
      </w:r>
      <w:r>
        <w:t xml:space="preserve"> </w:t>
      </w:r>
      <w:r>
        <w:rPr>
          <w:bCs/>
          <w:b/>
        </w:rPr>
        <w:t xml:space="preserve">Saudi Arabia Riyadh</w:t>
      </w:r>
      <w:r>
        <w:t xml:space="preserve">. As part of the broader Vision 2030 initiative, Riyadh has emerged as a premier global hub for investment, innovation, and economic diversification. Consequently, traditional financial oversight methods are insufficient to capture the nuanced dynamics of this rapidly evolving market. This report details how a dedicated</w:t>
      </w:r>
      <w:r>
        <w:t xml:space="preserve"> </w:t>
      </w:r>
      <w:r>
        <w:rPr>
          <w:bCs/>
          <w:b/>
        </w:rPr>
        <w:t xml:space="preserve">Financial Analyst</w:t>
      </w:r>
      <w:r>
        <w:t xml:space="preserve"> </w:t>
      </w:r>
      <w:r>
        <w:t xml:space="preserve">role will drive profitability, ensure regulatory compliance with local Saudi standards, and support data-driven decision-making in one of the Middle East's most dynamic economies.</w:t>
      </w:r>
    </w:p>
    <w:bookmarkEnd w:id="20"/>
    <w:bookmarkStart w:id="21" w:name="X3f7e099fe4ac90fb31ba4548ad56a9232677849"/>
    <w:p>
      <w:pPr>
        <w:pStyle w:val="Heading2"/>
      </w:pPr>
      <w:r>
        <w:t xml:space="preserve">2. Context: The Economic Landscape of Saudi Arabia Riyadh</w:t>
      </w:r>
    </w:p>
    <w:p>
      <w:pPr>
        <w:pStyle w:val="FirstParagraph"/>
      </w:pPr>
      <w:r>
        <w:t xml:space="preserve">The Kingdom of</w:t>
      </w:r>
      <w:r>
        <w:t xml:space="preserve"> </w:t>
      </w:r>
      <w:r>
        <w:rPr>
          <w:bCs/>
          <w:b/>
        </w:rPr>
        <w:t xml:space="preserve">Saudi Arabia</w:t>
      </w:r>
      <w:r>
        <w:t xml:space="preserve">, specifically its capital city, Riyadh, is undergoing a transformative economic shift. The government’s aggressive push toward privatization, tourism development, and technological integration has created a fertile ground for foreign and domestic investment. However, this growth comes with complex regulatory requirements and unique market behaviors.</w:t>
      </w:r>
    </w:p>
    <w:p>
      <w:pPr>
        <w:pStyle w:val="BodyText"/>
      </w:pPr>
      <w:r>
        <w:t xml:space="preserve">Riyadh is no longer just an administrative center; it is becoming a financial district rivaling Dubai and Doha. The influx of multinational corporations requires rigorous financial scrutiny to manage risk while maximizing return on investment (ROI). Understanding the local tax environment, including Zakat obligations for Saudi-owned entities versus standard corporate income tax for foreign entities, is critical. Furthermore, the introduction of Value Added Tax (VAT) at 15% has fundamentally altered cash flow projections and pricing strategies. Therefore, financial insights must be localized to reflect these specific economic realities.</w:t>
      </w:r>
    </w:p>
    <w:bookmarkEnd w:id="21"/>
    <w:bookmarkStart w:id="23" w:name="X3d498cd50df8354abebd781a356c29c1bc424c8"/>
    <w:p>
      <w:pPr>
        <w:pStyle w:val="Heading2"/>
      </w:pPr>
      <w:r>
        <w:t xml:space="preserve">3. The Role of the Financial Analyst in this Context</w:t>
      </w:r>
    </w:p>
    <w:p>
      <w:pPr>
        <w:pStyle w:val="FirstParagraph"/>
      </w:pPr>
      <w:r>
        <w:t xml:space="preserve">The primary objective of this project is to define the scope and responsibilities of the</w:t>
      </w:r>
      <w:r>
        <w:t xml:space="preserve"> </w:t>
      </w:r>
      <w:r>
        <w:rPr>
          <w:bCs/>
          <w:b/>
        </w:rPr>
        <w:t xml:space="preserve">Financial Analyst</w:t>
      </w:r>
      <w:r>
        <w:t xml:space="preserve">. This role is not merely about bookkeeping; it serves as a strategic partner to executive leadership. In the context of</w:t>
      </w:r>
      <w:r>
        <w:t xml:space="preserve"> </w:t>
      </w:r>
      <w:r>
        <w:rPr>
          <w:bCs/>
          <w:b/>
        </w:rPr>
        <w:t xml:space="preserve">Saudi Arabia Riyadh</w:t>
      </w:r>
      <w:r>
        <w:t xml:space="preserve">, the Financial Analyst must possess a dual competency: international financial modeling standards and deep knowledge of local Saudi fiscal policies.</w:t>
      </w:r>
    </w:p>
    <w:bookmarkStart w:id="22" w:name="key-responsibilities"/>
    <w:p>
      <w:pPr>
        <w:pStyle w:val="Heading3"/>
      </w:pPr>
      <w:r>
        <w:t xml:space="preserve">3.1 Key Responsibilities</w:t>
      </w:r>
    </w:p>
    <w:p>
      <w:pPr>
        <w:numPr>
          <w:ilvl w:val="0"/>
          <w:numId w:val="1001"/>
        </w:numPr>
        <w:pStyle w:val="Compact"/>
      </w:pPr>
      <w:r>
        <w:rPr>
          <w:bCs/>
          <w:b/>
        </w:rPr>
        <w:t xml:space="preserve">Economic Forecasting and Budgeting:</w:t>
      </w:r>
      <w:r>
        <w:t xml:space="preserve"> </w:t>
      </w:r>
      <w:r>
        <w:t xml:space="preserve">The analyst will develop multi-year financial models that account for the volatility of oil prices, which still heavily influence the broader Saudi economy. This includes scenario planning for various GDP growth rates within Riyadh’s non-oil sector.</w:t>
      </w:r>
    </w:p>
    <w:p>
      <w:pPr>
        <w:numPr>
          <w:ilvl w:val="0"/>
          <w:numId w:val="1001"/>
        </w:numPr>
        <w:pStyle w:val="Compact"/>
      </w:pPr>
      <w:r>
        <w:rPr>
          <w:bCs/>
          <w:b/>
        </w:rPr>
        <w:t xml:space="preserve">Regulatory Compliance and Reporting:</w:t>
      </w:r>
      <w:r>
        <w:t xml:space="preserve"> </w:t>
      </w:r>
      <w:r>
        <w:t xml:space="preserve">Ensuring all financial reporting aligns with the General Authority for Zakat and Tax (GAZT) in</w:t>
      </w:r>
      <w:r>
        <w:t xml:space="preserve"> </w:t>
      </w:r>
      <w:r>
        <w:rPr>
          <w:bCs/>
          <w:b/>
        </w:rPr>
        <w:t xml:space="preserve">Saudi Arabia</w:t>
      </w:r>
      <w:r>
        <w:t xml:space="preserve">. The analyst will oversee monthly VAT filings, Zakat calculations, and compliance with the Saudi Organization for Chartered and Professional Accountants (SOCPA) standards.</w:t>
      </w:r>
    </w:p>
    <w:p>
      <w:pPr>
        <w:numPr>
          <w:ilvl w:val="0"/>
          <w:numId w:val="1001"/>
        </w:numPr>
        <w:pStyle w:val="Compact"/>
      </w:pPr>
      <w:r>
        <w:rPr>
          <w:bCs/>
          <w:b/>
        </w:rPr>
        <w:t xml:space="preserve">Cost-Benefit Analysis of New Ventures:</w:t>
      </w:r>
      <w:r>
        <w:t xml:space="preserve"> </w:t>
      </w:r>
      <w:r>
        <w:t xml:space="preserve">With Riyadh expanding through giga-projects such as NEOM (though located outside Riyadh, its economic ripple effects are felt in the capital), Qiddiya, and the Diriyah Gate development, the analyst must evaluate potential investments for viability. This involves assessing land acquisition costs, labor laws under Saudization (Nitaqat) initiatives, and infrastructure expenses.</w:t>
      </w:r>
    </w:p>
    <w:p>
      <w:pPr>
        <w:numPr>
          <w:ilvl w:val="0"/>
          <w:numId w:val="1001"/>
        </w:numPr>
        <w:pStyle w:val="Compact"/>
      </w:pPr>
      <w:r>
        <w:rPr>
          <w:bCs/>
          <w:b/>
        </w:rPr>
        <w:t xml:space="preserve">Currency Risk Management:</w:t>
      </w:r>
      <w:r>
        <w:t xml:space="preserve"> </w:t>
      </w:r>
      <w:r>
        <w:t xml:space="preserve">While the Saudi Riyal is pegged to the US Dollar, local transactions may involve other currencies or credit terms in GCC regional partners. The analyst will monitor exchange rate fluctuations and implement hedging strategies where necessary.</w:t>
      </w:r>
    </w:p>
    <w:bookmarkEnd w:id="22"/>
    <w:bookmarkEnd w:id="23"/>
    <w:bookmarkStart w:id="24" w:name="strategic-objectives-and-kpis"/>
    <w:p>
      <w:pPr>
        <w:pStyle w:val="Heading2"/>
      </w:pPr>
      <w:r>
        <w:t xml:space="preserve">4. Strategic Objectives and KPIs</w:t>
      </w:r>
    </w:p>
    <w:p>
      <w:pPr>
        <w:pStyle w:val="FirstParagraph"/>
      </w:pPr>
      <w:r>
        <w:t xml:space="preserve">To measure the success of this initiative, we have established key performance indicators (KPIs) specific to the role of the</w:t>
      </w:r>
      <w:r>
        <w:t xml:space="preserve"> </w:t>
      </w:r>
      <w:r>
        <w:rPr>
          <w:bCs/>
          <w:b/>
        </w:rPr>
        <w:t xml:space="preserve">Financial Analyst</w:t>
      </w:r>
      <w:r>
        <w:t xml:space="preserve">.</w:t>
      </w:r>
    </w:p>
    <w:p>
      <w:pPr>
        <w:pStyle w:val="BodyText"/>
      </w:pPr>
      <w:r>
        <w:t xml:space="preserve">KPI Category</w:t>
      </w:r>
    </w:p>
    <w:p>
      <w:pPr>
        <w:pStyle w:val="BodyText"/>
      </w:pPr>
      <w:r>
        <w:t xml:space="preserve">Metric</w:t>
      </w:r>
    </w:p>
    <w:p>
      <w:pPr>
        <w:pStyle w:val="BodyText"/>
      </w:pPr>
      <w:r>
        <w:t xml:space="preserve">Description</w:t>
      </w:r>
    </w:p>
    <w:p>
      <w:pPr>
        <w:pStyle w:val="BodyText"/>
      </w:pPr>
      <w:r>
        <w:t xml:space="preserve">Fiscal Accuracy</w:t>
      </w:r>
    </w:p>
    <w:p>
      <w:pPr>
        <w:pStyle w:val="BodyText"/>
      </w:pPr>
      <w:r>
        <w:t xml:space="preserve">Variance &lt; 5%</w:t>
      </w:r>
    </w:p>
    <w:p>
      <w:pPr>
        <w:pStyle w:val="BodyText"/>
      </w:pPr>
      <w:r>
        <w:t xml:space="preserve">Difference between projected budget and actual spend in Riyadh operations.</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Analysis Framework for Saudi Arabia Riyadh</dc:title>
  <dc:creator/>
  <dc:language>en</dc:language>
  <cp:keywords/>
  <dcterms:created xsi:type="dcterms:W3CDTF">2026-07-29T15:26:36Z</dcterms:created>
  <dcterms:modified xsi:type="dcterms:W3CDTF">2026-07-29T15:26:36Z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