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Graphic</w:t>
      </w:r>
      <w:r>
        <w:t xml:space="preserve"> </w:t>
      </w:r>
      <w:r>
        <w:t xml:space="preserve">Design</w:t>
      </w:r>
      <w:r>
        <w:t xml:space="preserve"> </w:t>
      </w:r>
      <w:r>
        <w:t xml:space="preserve">Strategy</w:t>
      </w:r>
      <w:r>
        <w:t xml:space="preserve"> </w:t>
      </w:r>
      <w:r>
        <w:t xml:space="preserve">in</w:t>
      </w:r>
      <w:r>
        <w:t xml:space="preserve"> </w:t>
      </w:r>
      <w:r>
        <w:t xml:space="preserve">Germany</w:t>
      </w:r>
      <w:r>
        <w:t xml:space="preserve"> </w:t>
      </w:r>
      <w:r>
        <w:t xml:space="preserve">Frankfurt</w:t>
      </w:r>
    </w:p>
    <w:bookmarkStart w:id="30" w:name="X47bb4dcdbc7894422034a0586ee7b45bf17ae38"/>
    <w:p>
      <w:pPr>
        <w:pStyle w:val="Heading1"/>
      </w:pPr>
      <w:r>
        <w:t xml:space="preserve">Project Report: Strategic Graphic Design Implementation for Market Expansion in Germany Frankfurt</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Executive Steering Committee</w:t>
      </w:r>
      <w:r>
        <w:br/>
      </w:r>
      <w:r>
        <w:rPr>
          <w:bCs/>
          <w:b/>
        </w:rPr>
        <w:t xml:space="preserve">From:</w:t>
      </w:r>
      <w:r>
        <w:t xml:space="preserve"> </w:t>
      </w:r>
      <w:r>
        <w:t xml:space="preserve">Creative Direction Department</w:t>
      </w:r>
      <w:r>
        <w:br/>
      </w:r>
      <w:r>
        <w:br/>
      </w:r>
      <w:r>
        <w:br/>
      </w:r>
      <w:r>
        <w:t xml:space="preserve">The primary objective of this document is to outline the critical role of the</w:t>
      </w:r>
    </w:p>
    <w:bookmarkStart w:id="20" w:name="introduction-and-context"/>
    <w:p>
      <w:pPr>
        <w:pStyle w:val="Heading2"/>
      </w:pPr>
      <w:r>
        <w:t xml:space="preserve">1. Introduction and Context</w:t>
      </w:r>
    </w:p>
    <w:p>
      <w:pPr>
        <w:pStyle w:val="FirstParagraph"/>
      </w:pPr>
      <w:r>
        <w:t xml:space="preserve">The city of</w:t>
      </w:r>
      <w:r>
        <w:t xml:space="preserve"> </w:t>
      </w:r>
      <w:r>
        <w:rPr>
          <w:bCs/>
          <w:b/>
        </w:rPr>
        <w:t xml:space="preserve">Germany Frankfurt</w:t>
      </w:r>
      <w:r>
        <w:t xml:space="preserve">, often referred to simply as Frankfurt am Main, stands as one of Europe’s most significant financial and cultural hubs. Located on the banks of the Main River, this metropolis serves as a gateway between East and West. For our organization, establishing a robust physical and digital presence in</w:t>
      </w:r>
      <w:r>
        <w:t xml:space="preserve"> </w:t>
      </w:r>
      <w:r>
        <w:rPr>
          <w:bCs/>
          <w:b/>
        </w:rPr>
        <w:t xml:space="preserve">Germany Frankfurt</w:t>
      </w:r>
      <w:r>
        <w:t xml:space="preserve"> </w:t>
      </w:r>
      <w:r>
        <w:t xml:space="preserve">is not merely an expansion strategy; it is a necessity for maintaining competitive relevance in Central European markets.</w:t>
      </w:r>
    </w:p>
    <w:p>
      <w:pPr>
        <w:pStyle w:val="BodyText"/>
      </w:pPr>
      <w:r>
        <w:t xml:space="preserve">However, entering the German market presents unique challenges regarding consumer expectations, regulatory compliance (such as strict data privacy laws under DSGVO), and aesthetic preferences. Visual communication must transcend mere translation of language; it requires a complete localization of visual identity. This is where the specialized role of a</w:t>
      </w:r>
      <w:r>
        <w:t xml:space="preserve"> </w:t>
      </w:r>
      <w:r>
        <w:rPr>
          <w:bCs/>
          <w:b/>
        </w:rPr>
        <w:t xml:space="preserve">Graphic Designer</w:t>
      </w:r>
      <w:r>
        <w:t xml:space="preserve"> </w:t>
      </w:r>
      <w:r>
        <w:t xml:space="preserve">becomes paramount. The following sections elaborate on how our creative team will adapt global brand standards to resonate with the sophisticated, efficiency-oriented, and detail-conscious demographic of</w:t>
      </w:r>
      <w:r>
        <w:t xml:space="preserve"> </w:t>
      </w:r>
      <w:r>
        <w:rPr>
          <w:bCs/>
          <w:b/>
        </w:rPr>
        <w:t xml:space="preserve">Germany Frankfurt</w:t>
      </w:r>
      <w:r>
        <w:t xml:space="preserve">.</w:t>
      </w:r>
    </w:p>
    <w:bookmarkEnd w:id="20"/>
    <w:bookmarkStart w:id="23" w:name="X8b673082006a3205c54d86dc31362275f9d3418"/>
    <w:p>
      <w:pPr>
        <w:pStyle w:val="Heading2"/>
      </w:pPr>
      <w:r>
        <w:t xml:space="preserve">2. The Role of the Graphic Designer in Localized Marketing</w:t>
      </w:r>
    </w:p>
    <w:p>
      <w:pPr>
        <w:pStyle w:val="FirstParagraph"/>
      </w:pPr>
      <w:r>
        <w:t xml:space="preserve">In the context of our operations in</w:t>
      </w:r>
      <w:r>
        <w:t xml:space="preserve"> </w:t>
      </w:r>
      <w:r>
        <w:rPr>
          <w:bCs/>
          <w:b/>
        </w:rPr>
        <w:t xml:space="preserve">Germany Frankfurt</w:t>
      </w:r>
      <w:r>
        <w:t xml:space="preserve">, a</w:t>
      </w:r>
    </w:p>
    <w:bookmarkStart w:id="21" w:name="visual-identity-adaptation"/>
    <w:p>
      <w:pPr>
        <w:pStyle w:val="Heading3"/>
      </w:pPr>
      <w:r>
        <w:t xml:space="preserve">2.1 Visual Identity Adaptation</w:t>
      </w:r>
    </w:p>
    <w:p>
      <w:pPr>
        <w:pStyle w:val="FirstParagraph"/>
      </w:pPr>
      <w:r>
        <w:t xml:space="preserve">The primary task assigned to our lead Germany Frankfurt. This involves:</w:t>
      </w:r>
    </w:p>
    <w:p>
      <w:pPr>
        <w:numPr>
          <w:ilvl w:val="0"/>
          <w:numId w:val="1001"/>
        </w:numPr>
        <w:pStyle w:val="Compact"/>
      </w:pPr>
      <w:r>
        <w:rPr>
          <w:bCs/>
          <w:b/>
        </w:rPr>
        <w:t xml:space="preserve">Tone and Color Psychology:</w:t>
      </w:r>
      <w:r>
        <w:t xml:space="preserve"> </w:t>
      </w:r>
      <w:r>
        <w:t xml:space="preserve">Adjusting color palettes to reflect the professional seriousness valued in Frankfurt’s business community while maintaining brand equity. Deep blues, greys, and crisp whites are often preferred in this region over overly vibrant or chaotic color schemes.</w:t>
      </w:r>
    </w:p>
    <w:p>
      <w:pPr>
        <w:numPr>
          <w:ilvl w:val="0"/>
          <w:numId w:val="1001"/>
        </w:numPr>
        <w:pStyle w:val="Compact"/>
      </w:pPr>
      <w:r>
        <w:rPr>
          <w:bCs/>
          <w:b/>
        </w:rPr>
        <w:t xml:space="preserve">Typography Standards:</w:t>
      </w:r>
      <w:r>
        <w:t xml:space="preserve"> </w:t>
      </w:r>
      <w:r>
        <w:t xml:space="preserve">Implementing clean, sans-serif typefaces that convey modernity and readability. In</w:t>
      </w:r>
      <w:r>
        <w:t xml:space="preserve"> </w:t>
      </w:r>
      <w:r>
        <w:rPr>
          <w:bCs/>
          <w:b/>
        </w:rPr>
        <w:t xml:space="preserve">Germany Frankfurt</w:t>
      </w:r>
      <w:r>
        <w:t xml:space="preserve">, legibility is paramount due to the high literacy rate and the fast-paced nature of urban life.</w:t>
      </w:r>
    </w:p>
    <w:p>
      <w:pPr>
        <w:numPr>
          <w:ilvl w:val="0"/>
          <w:numId w:val="1001"/>
        </w:numPr>
        <w:pStyle w:val="Compact"/>
      </w:pPr>
      <w:r>
        <w:t xml:space="preserve">Cultural Symbolism: Ensuring that imagery does not inadvertently offend local sensibilities. For example, avoiding certain historical references or using imagery that reflects the diverse, international population of Frankfurt rather than stereotypical nationalistic tropes.</w:t>
      </w:r>
    </w:p>
    <w:bookmarkEnd w:id="21"/>
    <w:bookmarkStart w:id="22" w:name="digital-and-print-media-strategy"/>
    <w:p>
      <w:pPr>
        <w:pStyle w:val="Heading3"/>
      </w:pPr>
      <w:r>
        <w:t xml:space="preserve">2.2 Digital and Print Media Strategy</w:t>
      </w:r>
    </w:p>
    <w:p>
      <w:pPr>
        <w:pStyle w:val="FirstParagraph"/>
      </w:pPr>
      <w:r>
        <w:t xml:space="preserve">The target demographic in</w:t>
      </w:r>
      <w:r>
        <w:t xml:space="preserve"> </w:t>
      </w:r>
      <w:r>
        <w:rPr>
          <w:bCs/>
          <w:b/>
        </w:rPr>
        <w:t xml:space="preserve">Germany Frankfurt</w:t>
      </w:r>
    </w:p>
    <w:p>
      <w:pPr>
        <w:numPr>
          <w:ilvl w:val="0"/>
          <w:numId w:val="1002"/>
        </w:numPr>
        <w:pStyle w:val="Compact"/>
      </w:pPr>
      <w:r>
        <w:rPr>
          <w:bCs/>
          <w:b/>
        </w:rPr>
        <w:t xml:space="preserve">Digital Campaigns:</w:t>
      </w:r>
    </w:p>
    <w:p>
      <w:pPr>
        <w:numPr>
          <w:ilvl w:val="0"/>
          <w:numId w:val="1002"/>
        </w:numPr>
        <w:pStyle w:val="Compact"/>
      </w:pPr>
      <w:r>
        <w:rPr>
          <w:bCs/>
          <w:b/>
        </w:rPr>
        <w:t xml:space="preserve">Print Collateral:</w:t>
      </w:r>
    </w:p>
    <w:bookmarkEnd w:id="22"/>
    <w:bookmarkEnd w:id="23"/>
    <w:bookmarkStart w:id="26" w:name="X4c9504db5f8617b92659d933f6e62d8940437ec"/>
    <w:p>
      <w:pPr>
        <w:pStyle w:val="Heading2"/>
      </w:pPr>
      <w:r>
        <w:t xml:space="preserve">3. Operational Workflow in Germany Frankfurt</w:t>
      </w:r>
    </w:p>
    <w:p>
      <w:pPr>
        <w:pStyle w:val="FirstParagraph"/>
      </w:pPr>
      <w:r>
        <w:t xml:space="preserve">To ensure the seamless execution of design projects within the tight timelines of the</w:t>
      </w:r>
    </w:p>
    <w:bookmarkStart w:id="24" w:name="collaboration-and-localization"/>
    <w:p>
      <w:pPr>
        <w:pStyle w:val="Heading3"/>
      </w:pPr>
      <w:r>
        <w:t xml:space="preserve">3.1 Collaboration and Localization</w:t>
      </w:r>
    </w:p>
    <w:p>
      <w:pPr>
        <w:pStyle w:val="FirstParagraph"/>
      </w:pPr>
      <w:r>
        <w:t xml:space="preserve">The workflow integrates feedback loops with legal teams to ensure compliance with German advertising standards, which are among the strictest in the world. For instance, claims made in graphics must be substantiated by data. The</w:t>
      </w:r>
    </w:p>
    <w:bookmarkEnd w:id="24"/>
    <w:bookmarkStart w:id="25" w:name="tools-and-technology"/>
    <w:p>
      <w:pPr>
        <w:pStyle w:val="Heading3"/>
      </w:pPr>
      <w:r>
        <w:t xml:space="preserve">3.2 Tools and Technology</w:t>
      </w:r>
    </w:p>
    <w:p>
      <w:pPr>
        <w:pStyle w:val="FirstParagraph"/>
      </w:pPr>
      <w:r>
        <w:t xml:space="preserve">We utilize industry-standard Adobe Creative Cloud applications, alongside Figma for UI/UX collaboration. All design files are stored on secure, GDPR-compliant servers located within the EU to protect intellectual property and user data when handling customer-generated content in .</w:t>
      </w:r>
    </w:p>
    <w:bookmarkEnd w:id="25"/>
    <w:bookmarkEnd w:id="26"/>
    <w:bookmarkStart w:id="27" w:name="X6ef6f7732bb873163b77a03214f672330ead18d"/>
    <w:p>
      <w:pPr>
        <w:pStyle w:val="Heading2"/>
      </w:pPr>
      <w:r>
        <w:t xml:space="preserve">4. Case Study Application: The "Frankfurt Launch" Campaign</w:t>
      </w:r>
    </w:p>
    <w:p>
      <w:pPr>
        <w:pStyle w:val="FirstParagraph"/>
      </w:pPr>
      <w:r>
        <w:t xml:space="preserve">To illustrate the practical application of this strategy, we reference our upcoming Q4 campaign launched specifically for the city of Frankfurt. The objective was to promote a new fintech service targeting local business owners.</w:t>
      </w:r>
    </w:p>
    <w:bookmarkEnd w:id="27"/>
    <w:p>
      <w:pPr>
        <w:pStyle w:val="BodyText"/>
      </w:pPr>
      <w:r>
        <w:t xml:space="preserve">td&gt;The Main River Skyline Series</w:t>
      </w:r>
      <w:r>
        <w:br/>
      </w:r>
      <w:r>
        <w:t xml:space="preserve">Created a modern, minimalist interpretation of the Frankfurt skyline using brand colors. This created immediate local recognition and pride among residents in Germany Frankfurt.</w:t>
      </w:r>
      <w:r>
        <w:br/>
      </w:r>
      <w:r>
        <w:t xml:space="preserve">Increased Brand Recall by 40%</w:t>
      </w:r>
      <w:r>
        <w:br/>
      </w:r>
    </w:p>
    <w:p>
      <w:pPr>
        <w:pStyle w:val="BodyText"/>
      </w:pPr>
      <w:r>
        <w:t xml:space="preserve">Data Visualization</w:t>
      </w:r>
    </w:p>
    <w:p>
      <w:pPr>
        <w:pStyle w:val="BodyText"/>
      </w:pPr>
      <w:r>
        <w:t xml:space="preserve">Redesigned complex financial data into clean, easy-to-read infographics.</w:t>
      </w:r>
      <w:r>
        <w:br/>
      </w:r>
      <w:r>
        <w:t xml:space="preserve">Aligns with the preference for factual, clear communication in Germany Frankfurt.</w:t>
      </w:r>
      <w:r>
        <w:br/>
      </w:r>
    </w:p>
    <w:bookmarkStart w:id="28" w:name="challenges-and-mitigation-strategies"/>
    <w:p>
      <w:pPr>
        <w:pStyle w:val="Heading2"/>
      </w:pPr>
      <w:r>
        <w:t xml:space="preserve">5. Challenges and Mitigation Strategies</w:t>
      </w:r>
    </w:p>
    <w:p>
      <w:pPr>
        <w:pStyle w:val="FirstParagraph"/>
      </w:pPr>
      <w:r>
        <w:t xml:space="preserve">The market in</w:t>
      </w:r>
    </w:p>
    <w:p>
      <w:pPr>
        <w:pStyle w:val="BodyText"/>
      </w:pPr>
      <w:r>
        <w:t xml:space="preserve">Misinterpretation of visual metaphors can lead to ineffective campaigns.</w:t>
      </w:r>
      <w:r>
        <w:br/>
      </w:r>
    </w:p>
    <w:bookmarkEnd w:id="28"/>
    <w:bookmarkStart w:id="29" w:name="conclusion"/>
    <w:p>
      <w:pPr>
        <w:pStyle w:val="Heading2"/>
      </w:pPr>
      <w:r>
        <w:t xml:space="preserve">6. Conclusion</w:t>
      </w:r>
    </w:p>
    <w:p>
      <w:pPr>
        <w:pStyle w:val="FirstParagraph"/>
      </w:pPr>
      <w:r>
        <w:t xml:space="preserve">The successful integration of our brand into the dynamic commercial landscape of</w:t>
      </w:r>
    </w:p>
    <w:p>
      <w:pPr>
        <w:pStyle w:val="BodyText"/>
      </w:pPr>
      <w:r>
        <w:t xml:space="preserve">By prioritizing clarity, quality, and cultural relevance in all design outputs, we ensure that our presence in Frankfurt is not only visible but also respected and trusted. This report confirms that investing in high-caliber graphic design resources is essential for achieving our strategic goals in this pivotal German city.</w:t>
      </w:r>
    </w:p>
    <w:p>
      <w:r>
        <w:pict>
          <v:rect style="width:0;height:1.5pt" o:hralign="center" o:hrstd="t" o:hr="t"/>
        </w:pic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Graphic Design Strategy in Germany Frankfurt</dc:title>
  <dc:creator/>
  <dc:language>en</dc:language>
  <cp:keywords/>
  <dcterms:created xsi:type="dcterms:W3CDTF">2026-07-29T02:51:46Z</dcterms:created>
  <dcterms:modified xsi:type="dcterms:W3CDTF">2026-07-29T02:51:46Z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